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2F9" w:rsidRDefault="00AF12F9"/>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554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AE504B" w:rsidP="009F6A69">
      <w:pPr>
        <w:ind w:firstLine="708"/>
        <w:jc w:val="both"/>
      </w:pPr>
      <w:r>
        <w:t xml:space="preserve">Dikimevi – </w:t>
      </w:r>
      <w:proofErr w:type="spellStart"/>
      <w:r>
        <w:t>Natoyolu</w:t>
      </w:r>
      <w:proofErr w:type="spellEnd"/>
      <w:r>
        <w:t xml:space="preserve"> Raylı Sistem Uzatma Hattının İnşaat ve Elektromekanik Sistemler Temin Montaj ve İşletmeye Alma İşi sebebiyle oluşan gelir kayıpları tazminine </w:t>
      </w:r>
      <w:r w:rsidR="009F6A69" w:rsidRPr="00AE504B">
        <w:t xml:space="preserve">ilişkin </w:t>
      </w:r>
      <w:r>
        <w:t>Etüt ve Projeler Dairesi Başkanlığının</w:t>
      </w:r>
      <w:r w:rsidR="0091414E">
        <w:t xml:space="preserve"> 28.03.2026 tarihli ve</w:t>
      </w:r>
      <w:r>
        <w:t xml:space="preserve"> E-2141717 sayılı</w:t>
      </w:r>
      <w:r w:rsidR="009F6A69" w:rsidRPr="00AE504B">
        <w:t xml:space="preserve"> yazısı Büyükşehir Belediye Meclisinin </w:t>
      </w:r>
      <w:r>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4F1245" w:rsidRDefault="00146C59" w:rsidP="004F1245">
      <w:pPr>
        <w:tabs>
          <w:tab w:val="left" w:pos="709"/>
          <w:tab w:val="left" w:pos="9356"/>
        </w:tabs>
        <w:ind w:right="-1"/>
        <w:jc w:val="both"/>
      </w:pPr>
      <w:r>
        <w:rPr>
          <w:szCs w:val="13"/>
        </w:rPr>
        <w:tab/>
      </w:r>
      <w:proofErr w:type="gramStart"/>
      <w:r w:rsidR="00AE504B" w:rsidRPr="002B402E">
        <w:t xml:space="preserve">Konunun Komisyona gönderilmeden görüşülüp karara bağlanmasını isteyen Meclis </w:t>
      </w:r>
      <w:r w:rsidR="00AE504B">
        <w:t>1</w:t>
      </w:r>
      <w:r w:rsidR="00AE504B" w:rsidRPr="002B402E">
        <w:t xml:space="preserve">. Başkan Vekili </w:t>
      </w:r>
      <w:r w:rsidR="00AE504B">
        <w:t xml:space="preserve">Ertan </w:t>
      </w:r>
      <w:proofErr w:type="spellStart"/>
      <w:r w:rsidR="00AE504B">
        <w:t>IŞIK’ın</w:t>
      </w:r>
      <w:proofErr w:type="spellEnd"/>
      <w:r w:rsidR="00AE504B" w:rsidRPr="002B402E">
        <w:t xml:space="preserve"> şifahi önerisinin kabulü ile konu üzerinde yapılan görüşmelerden sonra;</w:t>
      </w:r>
      <w:r w:rsidR="004F1245">
        <w:t xml:space="preserve"> </w:t>
      </w:r>
      <w:r w:rsidR="00AE504B">
        <w:t>Büyükşehir Belediyemizce "A1 (</w:t>
      </w:r>
      <w:proofErr w:type="spellStart"/>
      <w:r w:rsidR="00AE504B">
        <w:t>Ankaray</w:t>
      </w:r>
      <w:proofErr w:type="spellEnd"/>
      <w:r w:rsidR="00AE504B">
        <w:t>) Hattı Dikimevi–</w:t>
      </w:r>
      <w:proofErr w:type="spellStart"/>
      <w:r w:rsidR="00AE504B">
        <w:t>Natoyolu</w:t>
      </w:r>
      <w:proofErr w:type="spellEnd"/>
      <w:r w:rsidR="00AE504B">
        <w:t xml:space="preserve"> Raylı Sistem Uzatma Hattının İnşaat ve Elektromekanik Sistemler Temin, Montaj ve İşletmeye Alma İşi", 125 milyon AVRO EBRD (Avrupa İmar ve kalkınma Bankası) ve 125 milyon AVRO AFD (Fransız Kalkınma Ajansı) tarafından 23.06.2023 tarihinde imzalanan kredi sözleşmeleri doğrultusunda finanse edilmesi nedeniyle ihalesi, 4734 sayılı Kamu İhale</w:t>
      </w:r>
      <w:r w:rsidR="004F1245">
        <w:t xml:space="preserve"> </w:t>
      </w:r>
      <w:r w:rsidR="00AE504B">
        <w:t xml:space="preserve">Kanununun "İstisnalar"  başlıklı 3 (c) maddesi kapsamında EBRD ihale kurallarına göre ECEPP (EBRD Client </w:t>
      </w:r>
      <w:proofErr w:type="spellStart"/>
      <w:r w:rsidR="00AE504B">
        <w:t>eProcurement</w:t>
      </w:r>
      <w:proofErr w:type="spellEnd"/>
      <w:r w:rsidR="00AE504B">
        <w:t xml:space="preserve"> Portal) üzerinden yapılmış, </w:t>
      </w:r>
      <w:proofErr w:type="spellStart"/>
      <w:r w:rsidR="00AE504B">
        <w:t>Etüd</w:t>
      </w:r>
      <w:proofErr w:type="spellEnd"/>
      <w:r w:rsidR="00AE504B">
        <w:t xml:space="preserve"> </w:t>
      </w:r>
      <w:r w:rsidR="004F1245">
        <w:t>ve Projeler Dairesi Başkanlığı</w:t>
      </w:r>
      <w:r w:rsidR="00AE504B">
        <w:t xml:space="preserve"> ile G</w:t>
      </w:r>
      <w:r w:rsidR="006E7BC4">
        <w:t>*******</w:t>
      </w:r>
      <w:r w:rsidR="00AE504B">
        <w:t xml:space="preserve"> A</w:t>
      </w:r>
      <w:r w:rsidR="006E7BC4">
        <w:t>***</w:t>
      </w:r>
      <w:bookmarkStart w:id="0" w:name="_GoBack"/>
      <w:bookmarkEnd w:id="0"/>
      <w:r w:rsidR="00AE504B">
        <w:t xml:space="preserve"> Sanayi İnşaat ve Taahhüt A.Ş. arasında 12.05.2025 tarihinde KDV Hariç 14.084.200.000,00 TL (</w:t>
      </w:r>
      <w:proofErr w:type="spellStart"/>
      <w:r w:rsidR="00AE504B">
        <w:t>Ondörtmilyar</w:t>
      </w:r>
      <w:proofErr w:type="spellEnd"/>
      <w:r w:rsidR="00AE504B">
        <w:t xml:space="preserve"> </w:t>
      </w:r>
      <w:proofErr w:type="spellStart"/>
      <w:r w:rsidR="00AE504B">
        <w:t>Seksendörtmilyon</w:t>
      </w:r>
      <w:proofErr w:type="spellEnd"/>
      <w:r w:rsidR="00AE504B">
        <w:t xml:space="preserve"> </w:t>
      </w:r>
      <w:proofErr w:type="spellStart"/>
      <w:r w:rsidR="00AE504B">
        <w:t>İkiyüzbin</w:t>
      </w:r>
      <w:proofErr w:type="spellEnd"/>
      <w:r w:rsidR="00AE504B">
        <w:t xml:space="preserve"> Türk Lirası) tutarlı sözleşme imzalanmıştır. </w:t>
      </w:r>
      <w:proofErr w:type="gramEnd"/>
      <w:r w:rsidR="00AE504B">
        <w:t xml:space="preserve">Çalışmalar, ilgili mevzuat, ihale ve kredi sözleşmeleri ile FIDIC </w:t>
      </w:r>
      <w:proofErr w:type="spellStart"/>
      <w:r w:rsidR="00AE504B">
        <w:t>Red</w:t>
      </w:r>
      <w:proofErr w:type="spellEnd"/>
      <w:r w:rsidR="00AE504B">
        <w:t xml:space="preserve"> </w:t>
      </w:r>
      <w:proofErr w:type="spellStart"/>
      <w:r w:rsidR="00AE504B">
        <w:t>Book</w:t>
      </w:r>
      <w:proofErr w:type="spellEnd"/>
      <w:r w:rsidR="00AE504B">
        <w:t xml:space="preserve"> hükümleri doğrultusunda yürütülmektedir. EBRD ile imzalanmış olan Kredi Sözleşmesinin 5.01. Olumlu Yükümlülük Teşkil Eden Belediye Taahhütleri (d) bendi 3) (A),(B),(C) fıkrası uyarınca hazırlanan ve uyulması taahhüt edilen Çevresel ve Sosyal Eylem Planının (ÇSEP-ESAP) PK5- 5.1(d) maddesinde yer alan "</w:t>
      </w:r>
      <w:proofErr w:type="gramStart"/>
      <w:r w:rsidR="00AE504B">
        <w:t>….</w:t>
      </w:r>
      <w:proofErr w:type="gramEnd"/>
      <w:r w:rsidR="00AE504B">
        <w:t xml:space="preserve">İşletme üzerindeki geçim kaynağı etkilerinin tam olarak belirlenmesi gerekecek ve tazminatlar Yeniden Yerleşim Eylem Planına (YYEP) uygun olarak sağlanacaktır…." hükmü ve 5.2 maddesi (f) bendinde yer alan "….Geçici yeniden yerleşime ilişkin koşulların hane halklarıyla görüşülmesi ve üzerinde anlaşmaya varılması. (tüm olası etkiler, alınacak önlemler/eylemler, yasal hakları, tazminat ve gerekirse hukuki yardım da </w:t>
      </w:r>
      <w:proofErr w:type="gramStart"/>
      <w:r w:rsidR="00AE504B">
        <w:t>dahil</w:t>
      </w:r>
      <w:proofErr w:type="gramEnd"/>
      <w:r w:rsidR="00AE504B">
        <w:t xml:space="preserve"> olmak üzere sağlanacak ek yardım ve daha da önemlisi şikayet prosedürü dahil…)" hükmü ve diğer ilgili hükümler ile ESAP içerisinde yer</w:t>
      </w:r>
      <w:r w:rsidR="004F1245">
        <w:t xml:space="preserve"> </w:t>
      </w:r>
      <w:r w:rsidR="00AE504B">
        <w:t>verilen Yeniden Yerleşim Eylem Planının (YYEP - RAP) 6.1.1. Haklar Sahipliği Matrisi 31 inci maddesinde yer alan  “Üniversite onaylı gelir kaybı izleme raporu doğrultusunda yüklenicinin satın alma faaliyetlerinin</w:t>
      </w:r>
      <w:r w:rsidR="004F1245">
        <w:t xml:space="preserve"> </w:t>
      </w:r>
      <w:r w:rsidR="00AE504B">
        <w:t xml:space="preserve">dışında gerekecek destekler ( kira, gider kalemleri azaltma </w:t>
      </w:r>
      <w:proofErr w:type="spellStart"/>
      <w:r w:rsidR="00AE504B">
        <w:t>vb</w:t>
      </w:r>
      <w:proofErr w:type="spellEnd"/>
      <w:r w:rsidR="00AE504B">
        <w:t>) ile ilgili olarak gelir kaybının nedenlerine göre raporda belirtilen sorumluluk sahibince (ABB veya Yüklenici) kiracı işletmelere gerekli destekleri</w:t>
      </w:r>
      <w:r w:rsidR="004F1245">
        <w:t xml:space="preserve"> </w:t>
      </w:r>
      <w:r w:rsidR="00AE504B">
        <w:t xml:space="preserve">sağlanacaktır” hükmü doğrultusunda, inşaat çalışmalarından, İdarenin kusurları nedeniyle etkilenecek hane halkı ve işletmelerin gelir kaybı ve maddi zararlarının tespitinin </w:t>
      </w:r>
      <w:r w:rsidR="004F1245">
        <w:t>y</w:t>
      </w:r>
      <w:r w:rsidR="00AE504B">
        <w:t xml:space="preserve">üklenici tarafından yapılacağı ve yapım sözleşmesi ve kredi sözleşmesine göre ödemelerinin İdare tarafından karşılanması yükümlülüğü getirilmiştir. </w:t>
      </w: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1245" w:rsidRPr="002D00A5" w:rsidTr="008368A6">
        <w:trPr>
          <w:trHeight w:val="1008"/>
        </w:trPr>
        <w:tc>
          <w:tcPr>
            <w:tcW w:w="3510" w:type="dxa"/>
          </w:tcPr>
          <w:p w:rsidR="004F1245" w:rsidRPr="002D00A5" w:rsidRDefault="004F1245" w:rsidP="008368A6">
            <w:pPr>
              <w:jc w:val="center"/>
            </w:pPr>
            <w:r w:rsidRPr="002D00A5">
              <w:t>T.C.</w:t>
            </w:r>
          </w:p>
          <w:p w:rsidR="004F1245" w:rsidRPr="002D00A5" w:rsidRDefault="004F1245" w:rsidP="008368A6">
            <w:pPr>
              <w:jc w:val="center"/>
            </w:pPr>
            <w:r w:rsidRPr="002D00A5">
              <w:t>ANKARA BÜYÜKŞEHİR</w:t>
            </w:r>
          </w:p>
          <w:p w:rsidR="004F1245" w:rsidRPr="002D00A5" w:rsidRDefault="004F1245" w:rsidP="008368A6">
            <w:pPr>
              <w:jc w:val="center"/>
            </w:pPr>
            <w:r w:rsidRPr="002D00A5">
              <w:t>BELEDİYE MECLİSİ</w:t>
            </w:r>
          </w:p>
        </w:tc>
      </w:tr>
    </w:tbl>
    <w:p w:rsidR="004F1245" w:rsidRDefault="004F1245" w:rsidP="004F1245">
      <w:pPr>
        <w:tabs>
          <w:tab w:val="left" w:pos="1935"/>
        </w:tabs>
        <w:jc w:val="both"/>
      </w:pPr>
    </w:p>
    <w:p w:rsidR="004F1245" w:rsidRDefault="004F1245" w:rsidP="004F1245">
      <w:pPr>
        <w:tabs>
          <w:tab w:val="left" w:pos="1935"/>
        </w:tabs>
        <w:jc w:val="both"/>
      </w:pPr>
    </w:p>
    <w:p w:rsidR="004F1245" w:rsidRDefault="004F1245" w:rsidP="004F1245">
      <w:pPr>
        <w:ind w:right="-1"/>
        <w:jc w:val="both"/>
      </w:pPr>
      <w:r>
        <w:t xml:space="preserve">  Karar No: 554</w:t>
      </w:r>
      <w:r w:rsidRPr="002D00A5">
        <w:t xml:space="preserve">                                             </w:t>
      </w:r>
      <w:r>
        <w:t xml:space="preserve">                                  </w:t>
      </w:r>
      <w:r w:rsidRPr="002D00A5">
        <w:t xml:space="preserve">                         </w:t>
      </w:r>
      <w:r>
        <w:t xml:space="preserve">      10.04.2026</w:t>
      </w:r>
    </w:p>
    <w:p w:rsidR="004F1245" w:rsidRDefault="004F1245" w:rsidP="004F1245">
      <w:pPr>
        <w:ind w:right="-1"/>
        <w:jc w:val="both"/>
      </w:pPr>
    </w:p>
    <w:p w:rsidR="004F1245" w:rsidRDefault="004F1245" w:rsidP="004F1245">
      <w:pPr>
        <w:ind w:right="-1"/>
        <w:jc w:val="center"/>
      </w:pPr>
      <w:r>
        <w:t>-2-</w:t>
      </w: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4F1245" w:rsidRDefault="004F1245" w:rsidP="004F1245">
      <w:pPr>
        <w:tabs>
          <w:tab w:val="left" w:pos="709"/>
          <w:tab w:val="left" w:pos="9356"/>
        </w:tabs>
        <w:ind w:right="-1"/>
        <w:jc w:val="both"/>
      </w:pPr>
    </w:p>
    <w:p w:rsidR="00067C4C" w:rsidRDefault="004F1245" w:rsidP="004F1245">
      <w:pPr>
        <w:tabs>
          <w:tab w:val="left" w:pos="709"/>
          <w:tab w:val="left" w:pos="9356"/>
        </w:tabs>
        <w:ind w:right="-1"/>
        <w:jc w:val="both"/>
      </w:pPr>
      <w:r>
        <w:tab/>
        <w:t>Yukarıda açıklanan yükümlülükler doğru</w:t>
      </w:r>
      <w:r w:rsidR="00AE504B">
        <w:t>ltusunda Büyükşehir Belediye Başkanlığımız ile EBRD arasında imzalanan kredi sözleşmelerinde yer alan taahhütler uyarınca ESAP ve YYEP kapsamındaki projenin inşaat aşamasından paydaşların en az şekilde etkilenmesinin, diğer bir ifade ile çevresel ve sosyal etkilerin minimize edilmesinin proje tasarım alternatifleri yoluyla mümkün olduğu, dolayısıyla  "zorunlu yeniden yerleşim ve ekonomik yerinden edilmeyi önlemek veya asgari düzeye indirmek" için tedbirler alınmasına rağmen, metro inşaatından kaçınılmaz etkilerin sebep olduğu esnaf ve vatandaşların gelir kaybı, çalışma veya yaşam alanlarına erişim engeli, İdareden kaynaklı her türlü maddi mağduriyetlerinin giderilebilmesi amacıyla konusunda deneyimli danışmanlık şirketlerinin belirleyeceği ve ilgili üniversite görüşü ile teyit edilecek gelir kayıplarının, Anayasanın 125 inci maddesinde belirtilen “İdare, kendi eylem ve işlemlerinden doğan zararı ödemekle yükümlüdür” hükmü ve bu doğrultuda mahkemelerce gelir kaybına maruz kalan hane halkı veya esnaflar lehine verilen emsal kararların değerlendirilmesi ile arazi edinimi veya kullanımına getirilen kısıtlamalardan kaynaklanan olumsuz sosyal ve ekonomik etkileri azaltmak, etkilenen kişilerin geçim kaynaklarını ve yaşam standartlarını proje öncesi seviyelere ulaştırmak veya en azından geri kazandırmak, varlık kayıpları için yenileme maliyeti üzerinden adil, zamanında ve yeterli tazminat sağlanması için ekte sunulan "Yeniden Yerleşim Eylem Planında"  belirtilen metotlar ile gelir kaybı tespitlerinin yapılması ve tespit edilen tutarlar doğrultusunda ilgililere gerekli ödemelerin yapılabilmesi ve/veya mağduriyetlerin giderilmesine yönelik işlem  tesis etme yetkisinin  “A1 (</w:t>
      </w:r>
      <w:proofErr w:type="spellStart"/>
      <w:r w:rsidR="00AE504B">
        <w:t>Ankaray</w:t>
      </w:r>
      <w:proofErr w:type="spellEnd"/>
      <w:r w:rsidR="00AE504B">
        <w:t>) Hattı Dikimevi–</w:t>
      </w:r>
      <w:proofErr w:type="spellStart"/>
      <w:r w:rsidR="00AE504B">
        <w:t>Natoyolu</w:t>
      </w:r>
      <w:proofErr w:type="spellEnd"/>
      <w:r w:rsidR="00AE504B">
        <w:t xml:space="preserve"> Raylı Sistem Uzatma Hattının İnşaat ve Elektromekanik Sistemler Temin, Montaj ve İşletmeye Alma İşi” kapsamında İdare olarak ilgili birimlerimizce yürütmek üzere Büyükşehir </w:t>
      </w:r>
      <w:r>
        <w:t>Belediye Başkanlığına verilmesine ilişkin teklif oylanarak AK</w:t>
      </w:r>
      <w:r w:rsidRPr="004F1245">
        <w:t xml:space="preserve"> Parti, MHP</w:t>
      </w:r>
      <w:r>
        <w:t xml:space="preserve"> ve</w:t>
      </w:r>
      <w:r w:rsidRPr="004F1245">
        <w:t xml:space="preserve"> BBP Grupları</w:t>
      </w:r>
      <w:r>
        <w:t xml:space="preserve">nın </w:t>
      </w:r>
      <w:r w:rsidRPr="004F1245">
        <w:t>muhalefetlerine r</w:t>
      </w:r>
      <w:r>
        <w:t>ağmen oyçokluğu ile kabul edildi.</w:t>
      </w:r>
    </w:p>
    <w:p w:rsidR="003D4E05" w:rsidRDefault="003D4E05" w:rsidP="00491774">
      <w:pPr>
        <w:tabs>
          <w:tab w:val="left" w:pos="709"/>
        </w:tabs>
        <w:ind w:right="-1" w:firstLine="709"/>
        <w:jc w:val="both"/>
      </w:pPr>
    </w:p>
    <w:p w:rsidR="004F1245" w:rsidRDefault="004F1245" w:rsidP="00491774">
      <w:pPr>
        <w:tabs>
          <w:tab w:val="left" w:pos="709"/>
        </w:tabs>
        <w:ind w:right="-1" w:firstLine="709"/>
        <w:jc w:val="both"/>
      </w:pPr>
    </w:p>
    <w:p w:rsidR="004F1245" w:rsidRDefault="004F1245" w:rsidP="00491774">
      <w:pPr>
        <w:tabs>
          <w:tab w:val="left" w:pos="709"/>
        </w:tabs>
        <w:ind w:right="-1" w:firstLine="709"/>
        <w:jc w:val="both"/>
      </w:pP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BC4"/>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4E"/>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7A36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205B-BC4C-4A2D-B735-F3AEE060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663</Words>
  <Characters>4881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2024-01-12T07:51:00Z</cp:lastPrinted>
  <dcterms:created xsi:type="dcterms:W3CDTF">2026-04-13T07:30:00Z</dcterms:created>
  <dcterms:modified xsi:type="dcterms:W3CDTF">2026-04-20T06:34:00Z</dcterms:modified>
</cp:coreProperties>
</file>