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45" w:rsidRDefault="004F1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AE504B">
        <w:t>55</w:t>
      </w:r>
      <w:r w:rsidR="00DA5D62">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AE504B">
        <w:t xml:space="preserve"> </w:t>
      </w:r>
      <w:r w:rsidR="00E50C95">
        <w:t xml:space="preserve">  </w:t>
      </w:r>
      <w:r w:rsidR="00AE504B">
        <w:t>10</w:t>
      </w:r>
      <w:r w:rsidR="00305F2F">
        <w:t>.</w:t>
      </w:r>
      <w:r w:rsidR="0077160C">
        <w:t>0</w:t>
      </w:r>
      <w:r w:rsidR="00146C59">
        <w:t>4</w:t>
      </w:r>
      <w:r w:rsidR="0077160C">
        <w:t>.202</w:t>
      </w:r>
      <w:r w:rsidR="00AF12F9">
        <w:t>6</w:t>
      </w: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Pr="00AE504B" w:rsidRDefault="005B2035" w:rsidP="009F6A69">
      <w:pPr>
        <w:ind w:firstLine="708"/>
        <w:jc w:val="both"/>
      </w:pPr>
      <w:r>
        <w:t>ASKİ Genel Müdürlüğü personelinin</w:t>
      </w:r>
      <w:r w:rsidRPr="00F968E8">
        <w:t xml:space="preserve"> </w:t>
      </w:r>
      <w:r>
        <w:t xml:space="preserve">Çin’in Pekin Şehrine 20 –23 Nisan 2026 </w:t>
      </w:r>
      <w:r w:rsidRPr="00F968E8">
        <w:t xml:space="preserve">tarihleri arasında yapacağı yurt dışı görevine </w:t>
      </w:r>
      <w:r w:rsidR="009F6A69" w:rsidRPr="00AE504B">
        <w:t xml:space="preserve">ilişkin </w:t>
      </w:r>
      <w:r w:rsidR="006210EA">
        <w:t>ASKİ Genel Müdürlüğünün</w:t>
      </w:r>
      <w:r w:rsidR="00AE504B">
        <w:t xml:space="preserve"> </w:t>
      </w:r>
      <w:r w:rsidR="00330F2A">
        <w:t xml:space="preserve">09.04.2026 tarihli ve </w:t>
      </w:r>
      <w:r w:rsidR="006210EA">
        <w:t>93</w:t>
      </w:r>
      <w:r>
        <w:t>4/2</w:t>
      </w:r>
      <w:r w:rsidR="00AE504B">
        <w:t xml:space="preserve"> sayılı</w:t>
      </w:r>
      <w:r w:rsidR="009F6A69" w:rsidRPr="00AE504B">
        <w:t xml:space="preserve"> yazısı Büyükşehir Belediye Meclisinin </w:t>
      </w:r>
      <w:r w:rsidR="00AE504B">
        <w:t>10</w:t>
      </w:r>
      <w:r w:rsidR="009F6A69" w:rsidRPr="00AE504B">
        <w:t>.04.202</w:t>
      </w:r>
      <w:r w:rsidR="00AF12F9" w:rsidRPr="00AE504B">
        <w:t>6</w:t>
      </w:r>
      <w:r w:rsidR="009F6A69" w:rsidRPr="00AE504B">
        <w:t xml:space="preserve"> tarihli toplantısında okundu.</w:t>
      </w:r>
    </w:p>
    <w:p w:rsidR="009F6A69" w:rsidRPr="00146C59" w:rsidRDefault="009F6A69" w:rsidP="00146C59">
      <w:pPr>
        <w:jc w:val="both"/>
      </w:pPr>
    </w:p>
    <w:p w:rsidR="00F33C9A" w:rsidRDefault="00146C59" w:rsidP="005B2035">
      <w:pPr>
        <w:tabs>
          <w:tab w:val="left" w:pos="709"/>
          <w:tab w:val="left" w:pos="9356"/>
        </w:tabs>
        <w:ind w:right="-1"/>
        <w:jc w:val="both"/>
      </w:pPr>
      <w:r>
        <w:rPr>
          <w:szCs w:val="13"/>
        </w:rPr>
        <w:tab/>
      </w:r>
      <w:proofErr w:type="gramStart"/>
      <w:r w:rsidR="00AE504B" w:rsidRPr="002B402E">
        <w:t xml:space="preserve">Konunun Komisyona gönderilmeden görüşülüp karara bağlanmasını isteyen Meclis </w:t>
      </w:r>
      <w:r w:rsidR="00AE504B">
        <w:t>1</w:t>
      </w:r>
      <w:r w:rsidR="00AE504B" w:rsidRPr="002B402E">
        <w:t xml:space="preserve">. Başkan Vekili </w:t>
      </w:r>
      <w:r w:rsidR="00AE504B">
        <w:t>Ertan IŞIK’ın</w:t>
      </w:r>
      <w:r w:rsidR="00AE504B" w:rsidRPr="002B402E">
        <w:t xml:space="preserve"> şifahi önerisinin kabulü ile konu üzerinde yapılan görüşmelerden sonra;</w:t>
      </w:r>
      <w:r w:rsidR="001D6B76">
        <w:tab/>
      </w:r>
      <w:r w:rsidR="005B2035">
        <w:t xml:space="preserve">3 (Üç) Kısım </w:t>
      </w:r>
      <w:proofErr w:type="spellStart"/>
      <w:r w:rsidR="005B2035">
        <w:t>Kesikköprü</w:t>
      </w:r>
      <w:proofErr w:type="spellEnd"/>
      <w:r w:rsidR="005B2035">
        <w:t xml:space="preserve"> Serisi ile Ankara Merkez P1-P4-P7-P10 Pompa İstasyonları Pompa - Elektrik Motoru ve Elektrik Şalt Malzemeleri Montajı Mal Alımı İşi" ne ilişkin 1. Kısım: "</w:t>
      </w:r>
      <w:proofErr w:type="spellStart"/>
      <w:r w:rsidR="005B2035">
        <w:t>Kesikköprü</w:t>
      </w:r>
      <w:proofErr w:type="spellEnd"/>
      <w:r w:rsidR="005B2035">
        <w:t xml:space="preserve"> Serisi Pompa + Elektrik Motoru Ekipmanları Mal Alımı" ihalesi M</w:t>
      </w:r>
      <w:r w:rsidR="009637C0">
        <w:t>**</w:t>
      </w:r>
      <w:r w:rsidR="005B2035">
        <w:t xml:space="preserve"> Te</w:t>
      </w:r>
      <w:r w:rsidR="009637C0">
        <w:t>*****</w:t>
      </w:r>
      <w:bookmarkStart w:id="0" w:name="_GoBack"/>
      <w:bookmarkEnd w:id="0"/>
      <w:r w:rsidR="005B2035">
        <w:t xml:space="preserve">Makina Sanayi Ticaret Anonim Şirketi uhdesinde kalmış olup 20.11.2025 tarihinde sözleşme imzalanmıştır. </w:t>
      </w:r>
      <w:proofErr w:type="gramEnd"/>
      <w:r w:rsidR="005B2035">
        <w:t xml:space="preserve">Yüklenici firmanın 02.04.2026 tarihli ve 436184 sayılı dilekçesinde; kullanılacak olan elektrik motorlarının üreticisi Siemens </w:t>
      </w:r>
      <w:proofErr w:type="spellStart"/>
      <w:r w:rsidR="005B2035">
        <w:t>A.Ş'nin</w:t>
      </w:r>
      <w:proofErr w:type="spellEnd"/>
      <w:r w:rsidR="005B2035">
        <w:t xml:space="preserve"> Çin'deki "</w:t>
      </w:r>
      <w:proofErr w:type="spellStart"/>
      <w:r w:rsidR="005B2035">
        <w:t>Chaoyang</w:t>
      </w:r>
      <w:proofErr w:type="spellEnd"/>
      <w:r w:rsidR="005B2035">
        <w:t xml:space="preserve"> Bölgesi, </w:t>
      </w:r>
      <w:proofErr w:type="spellStart"/>
      <w:r w:rsidR="005B2035">
        <w:t>Wangjing</w:t>
      </w:r>
      <w:proofErr w:type="spellEnd"/>
      <w:r w:rsidR="005B2035">
        <w:t xml:space="preserve"> </w:t>
      </w:r>
      <w:proofErr w:type="spellStart"/>
      <w:r w:rsidR="005B2035">
        <w:t>Zhonghuan</w:t>
      </w:r>
      <w:proofErr w:type="spellEnd"/>
      <w:r w:rsidR="005B2035">
        <w:t xml:space="preserve"> </w:t>
      </w:r>
      <w:proofErr w:type="spellStart"/>
      <w:r w:rsidR="005B2035">
        <w:t>Nanlu</w:t>
      </w:r>
      <w:proofErr w:type="spellEnd"/>
      <w:r w:rsidR="005B2035">
        <w:t xml:space="preserve">, No: 7 Pekin" adresindeki fabrikasında 18-23 Nisan 2026 tarihinde fabrika kabul testlerine hazır olduğunu belirtilerek fabrika kabullerinin yapılması </w:t>
      </w:r>
      <w:r w:rsidR="00DF3CEF">
        <w:t>istenilmiştir.</w:t>
      </w:r>
      <w:r w:rsidR="005B2035">
        <w:t xml:space="preserve"> </w:t>
      </w:r>
    </w:p>
    <w:p w:rsidR="00F33C9A" w:rsidRDefault="00F33C9A" w:rsidP="005B2035">
      <w:pPr>
        <w:tabs>
          <w:tab w:val="left" w:pos="709"/>
          <w:tab w:val="left" w:pos="9356"/>
        </w:tabs>
        <w:ind w:right="-1"/>
        <w:jc w:val="both"/>
      </w:pPr>
    </w:p>
    <w:p w:rsidR="00FB1769" w:rsidRDefault="00F33C9A" w:rsidP="005B2035">
      <w:pPr>
        <w:tabs>
          <w:tab w:val="left" w:pos="709"/>
          <w:tab w:val="left" w:pos="9356"/>
        </w:tabs>
        <w:ind w:right="-1"/>
        <w:jc w:val="both"/>
      </w:pPr>
      <w:r>
        <w:tab/>
      </w:r>
      <w:r w:rsidR="005B2035">
        <w:t xml:space="preserve">Teknik Şartnamenin Muayene ve Kabul Şartları başlıklı 4.1.1. maddesinde; "Pompa - motorlara ait tüm test ve deneyler imalatçı firmanın fabrikasında yapılacaktır. Firma, deney </w:t>
      </w:r>
      <w:r>
        <w:t>stantlarında</w:t>
      </w:r>
      <w:r w:rsidR="005B2035">
        <w:t xml:space="preserve"> bulunan ölçü cihazlarının ölçümleme (</w:t>
      </w:r>
      <w:proofErr w:type="gramStart"/>
      <w:r w:rsidR="005B2035">
        <w:t>kalibrasyon</w:t>
      </w:r>
      <w:proofErr w:type="gramEnd"/>
      <w:r w:rsidR="005B2035">
        <w:t xml:space="preserve">) sertifikaları ile pompa- motorların teknik şartnamede istenilen malzeme özelliklerini gösterir tüm analiz raporlarını deney aşamasında sunacaktır.", 4.1.4 maddesinde; "Alınacak olan tüm pompa-motorlar imalatçı fabrikada test edilecek, testi geçemeyen pompa-motorlar için komisyon istediği taktirde ek süre verebilir. Ek süre sonrasında söz konusu pompa-motorlar şartnamede istenilen şartları </w:t>
      </w:r>
      <w:r>
        <w:t xml:space="preserve">sağlamazsa </w:t>
      </w:r>
      <w:r w:rsidR="005B2035">
        <w:t>listede bulunan tüm pompa-motorlar reddedilir." ve 4.1.6. maddesinde; "Muayene Kabul Komisyonunun deney, test ve muayene işlemleri için oluşabilecek tüm yol, konaklama ve diğer masrafları yükl</w:t>
      </w:r>
      <w:r w:rsidR="00DF3CEF">
        <w:t>eniciye aittir." denildiği,</w:t>
      </w:r>
    </w:p>
    <w:p w:rsidR="00FB1769" w:rsidRDefault="00FB1769" w:rsidP="005B2035">
      <w:pPr>
        <w:tabs>
          <w:tab w:val="left" w:pos="709"/>
          <w:tab w:val="left" w:pos="9356"/>
        </w:tabs>
        <w:ind w:right="-1"/>
        <w:jc w:val="both"/>
      </w:pPr>
    </w:p>
    <w:p w:rsidR="001D6B76" w:rsidRDefault="00FB1769" w:rsidP="001D6B76">
      <w:pPr>
        <w:tabs>
          <w:tab w:val="left" w:pos="709"/>
          <w:tab w:val="left" w:pos="9356"/>
        </w:tabs>
        <w:ind w:right="-1"/>
        <w:jc w:val="both"/>
      </w:pPr>
      <w:r>
        <w:tab/>
      </w:r>
      <w:r w:rsidR="005B2035">
        <w:t xml:space="preserve">Söz konusu iş kapsamında elektrik motorlarının üreticisi Siemens </w:t>
      </w:r>
      <w:proofErr w:type="spellStart"/>
      <w:r w:rsidR="005B2035">
        <w:t>A.Ş'nin</w:t>
      </w:r>
      <w:proofErr w:type="spellEnd"/>
      <w:r w:rsidR="005B2035">
        <w:t xml:space="preserve"> Çin'de bulunan fabrikasında elektrik motorlarının fabrika test ve kabullerinin yapılması için kişi sayısı ve görevlendirme süresi; 17 Mayıs 2024 tarihli ve 32549 sayılı Cumhurbaşkanlığı Tasarruf Tedbirleri Genelgesinde belirtilen "Zorunlu hallerde yapılacak yurt dışı geçici görevlendirmeler, bu amaçla tahsis edilmiş başlangıç ödeneğini aşmamak kaydıyla, görevin süresi ve görevli sayısı en az seviyede tutularak bakanlıklar, bağlı, ilgili ve ilişikli kuruluşlarda bakan, diğer idarelerde üst yönetici onayı ile yapılacaktır..." hükmü ve Çevre, Şehircilik ve İklim Değişikliği Bakanlığının 21.04.2021 tarihli ve 841354 sayılı Genelgesinde belirtilen;</w:t>
      </w:r>
      <w:r w:rsidR="001D6B76">
        <w:t xml:space="preserve"> "Görevlendirilen personele 6245 sayılı Harcırah Kanunu hükümlerine göre harcırah (yol</w:t>
      </w:r>
      <w:r w:rsidR="0086503B">
        <w:t xml:space="preserve"> </w:t>
      </w:r>
      <w:r w:rsidR="001D6B76">
        <w:t>+</w:t>
      </w:r>
      <w:r w:rsidR="0086503B">
        <w:t xml:space="preserve"> </w:t>
      </w:r>
      <w:r w:rsidR="001D6B76">
        <w:t>yevmiye) giderleri dışında herhangi bir ödeme yapılma</w:t>
      </w:r>
      <w:r w:rsidR="00A8733F">
        <w:t>ması,</w:t>
      </w:r>
      <w:r w:rsidR="001D6B76">
        <w:t xml:space="preserve">" </w:t>
      </w:r>
    </w:p>
    <w:p w:rsidR="00DF3CEF" w:rsidRDefault="00DF3CEF" w:rsidP="001D6B76">
      <w:pPr>
        <w:tabs>
          <w:tab w:val="left" w:pos="709"/>
          <w:tab w:val="left" w:pos="9356"/>
        </w:tabs>
        <w:ind w:right="-1"/>
        <w:jc w:val="both"/>
      </w:pPr>
    </w:p>
    <w:p w:rsidR="00DF3CEF" w:rsidRDefault="00DF3CEF" w:rsidP="001D6B76">
      <w:pPr>
        <w:tabs>
          <w:tab w:val="left" w:pos="709"/>
          <w:tab w:val="left" w:pos="9356"/>
        </w:tabs>
        <w:ind w:right="-1"/>
        <w:jc w:val="both"/>
      </w:pPr>
    </w:p>
    <w:p w:rsidR="00DF3CEF" w:rsidRDefault="00DF3CEF" w:rsidP="001D6B76">
      <w:pPr>
        <w:tabs>
          <w:tab w:val="left" w:pos="709"/>
          <w:tab w:val="left" w:pos="9356"/>
        </w:tabs>
        <w:ind w:right="-1"/>
        <w:jc w:val="both"/>
      </w:pPr>
    </w:p>
    <w:p w:rsidR="00DF3CEF" w:rsidRDefault="00DF3CEF" w:rsidP="001D6B76">
      <w:pPr>
        <w:tabs>
          <w:tab w:val="left" w:pos="709"/>
          <w:tab w:val="left" w:pos="9356"/>
        </w:tabs>
        <w:ind w:right="-1"/>
        <w:jc w:val="both"/>
      </w:pPr>
    </w:p>
    <w:p w:rsidR="00DF3CEF" w:rsidRDefault="00DF3CEF" w:rsidP="001D6B76">
      <w:pPr>
        <w:tabs>
          <w:tab w:val="left" w:pos="709"/>
          <w:tab w:val="left" w:pos="9356"/>
        </w:tabs>
        <w:ind w:right="-1"/>
        <w:jc w:val="both"/>
      </w:pPr>
    </w:p>
    <w:p w:rsidR="00DF3CEF" w:rsidRDefault="00DF3CEF" w:rsidP="001D6B76">
      <w:pPr>
        <w:tabs>
          <w:tab w:val="left" w:pos="709"/>
          <w:tab w:val="left" w:pos="9356"/>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6B76" w:rsidRPr="002D00A5" w:rsidTr="00EC5AF9">
        <w:trPr>
          <w:trHeight w:val="1008"/>
        </w:trPr>
        <w:tc>
          <w:tcPr>
            <w:tcW w:w="3510" w:type="dxa"/>
          </w:tcPr>
          <w:p w:rsidR="001D6B76" w:rsidRPr="002D00A5" w:rsidRDefault="001D6B76" w:rsidP="00EC5AF9">
            <w:pPr>
              <w:jc w:val="center"/>
            </w:pPr>
            <w:r w:rsidRPr="002D00A5">
              <w:lastRenderedPageBreak/>
              <w:t>T.C.</w:t>
            </w:r>
          </w:p>
          <w:p w:rsidR="001D6B76" w:rsidRPr="002D00A5" w:rsidRDefault="001D6B76" w:rsidP="00EC5AF9">
            <w:pPr>
              <w:jc w:val="center"/>
            </w:pPr>
            <w:r w:rsidRPr="002D00A5">
              <w:t>ANKARA BÜYÜKŞEHİR</w:t>
            </w:r>
          </w:p>
          <w:p w:rsidR="001D6B76" w:rsidRPr="002D00A5" w:rsidRDefault="001D6B76" w:rsidP="00EC5AF9">
            <w:pPr>
              <w:jc w:val="center"/>
            </w:pPr>
            <w:r w:rsidRPr="002D00A5">
              <w:t>BELEDİYE MECLİSİ</w:t>
            </w:r>
          </w:p>
        </w:tc>
      </w:tr>
    </w:tbl>
    <w:p w:rsidR="001D6B76" w:rsidRDefault="001D6B76" w:rsidP="001D6B76">
      <w:pPr>
        <w:tabs>
          <w:tab w:val="left" w:pos="1935"/>
        </w:tabs>
        <w:jc w:val="both"/>
      </w:pPr>
    </w:p>
    <w:p w:rsidR="001D6B76" w:rsidRDefault="001D6B76" w:rsidP="001D6B76">
      <w:pPr>
        <w:tabs>
          <w:tab w:val="left" w:pos="1935"/>
        </w:tabs>
        <w:jc w:val="both"/>
      </w:pPr>
    </w:p>
    <w:p w:rsidR="001D6B76" w:rsidRDefault="001D6B76" w:rsidP="001D6B76">
      <w:pPr>
        <w:ind w:right="-1"/>
        <w:jc w:val="both"/>
      </w:pPr>
      <w:r>
        <w:t>Karar No: 556</w:t>
      </w:r>
      <w:r w:rsidRPr="002D00A5">
        <w:t xml:space="preserve">                                             </w:t>
      </w:r>
      <w:r>
        <w:t xml:space="preserve">                                  </w:t>
      </w:r>
      <w:r w:rsidRPr="002D00A5">
        <w:t xml:space="preserve">                           </w:t>
      </w:r>
      <w:r>
        <w:t xml:space="preserve">      10.04.2026</w:t>
      </w:r>
    </w:p>
    <w:p w:rsidR="001D6B76" w:rsidRDefault="001D6B76" w:rsidP="001D6B76">
      <w:pPr>
        <w:ind w:right="-1"/>
        <w:jc w:val="both"/>
      </w:pPr>
    </w:p>
    <w:p w:rsidR="001D6B76" w:rsidRDefault="001D6B76" w:rsidP="001D6B76">
      <w:pPr>
        <w:ind w:right="-1"/>
        <w:jc w:val="center"/>
      </w:pPr>
      <w:r>
        <w:t>-2-</w:t>
      </w:r>
    </w:p>
    <w:p w:rsidR="00DF3CEF" w:rsidRDefault="00DF3CEF" w:rsidP="001D6B76">
      <w:pPr>
        <w:ind w:right="-1"/>
        <w:jc w:val="center"/>
      </w:pPr>
    </w:p>
    <w:p w:rsidR="005B2035" w:rsidRDefault="005B2035" w:rsidP="005B2035">
      <w:pPr>
        <w:tabs>
          <w:tab w:val="left" w:pos="709"/>
          <w:tab w:val="left" w:pos="9356"/>
        </w:tabs>
        <w:ind w:right="-1"/>
        <w:jc w:val="both"/>
      </w:pPr>
    </w:p>
    <w:tbl>
      <w:tblPr>
        <w:tblStyle w:val="TabloKlavuzu"/>
        <w:tblW w:w="9351" w:type="dxa"/>
        <w:tblLook w:val="04A0" w:firstRow="1" w:lastRow="0" w:firstColumn="1" w:lastColumn="0" w:noHBand="0" w:noVBand="1"/>
      </w:tblPr>
      <w:tblGrid>
        <w:gridCol w:w="757"/>
        <w:gridCol w:w="2410"/>
        <w:gridCol w:w="1418"/>
        <w:gridCol w:w="1417"/>
        <w:gridCol w:w="3349"/>
      </w:tblGrid>
      <w:tr w:rsidR="001D6B76" w:rsidTr="0086503B">
        <w:tc>
          <w:tcPr>
            <w:tcW w:w="757" w:type="dxa"/>
          </w:tcPr>
          <w:p w:rsidR="001D6B76" w:rsidRDefault="001D6B76" w:rsidP="00EC5AF9">
            <w:pPr>
              <w:tabs>
                <w:tab w:val="left" w:pos="709"/>
                <w:tab w:val="left" w:pos="9356"/>
              </w:tabs>
              <w:ind w:right="-1"/>
              <w:jc w:val="both"/>
            </w:pPr>
            <w:r>
              <w:t>S.NO</w:t>
            </w:r>
          </w:p>
        </w:tc>
        <w:tc>
          <w:tcPr>
            <w:tcW w:w="2410" w:type="dxa"/>
          </w:tcPr>
          <w:p w:rsidR="001D6B76" w:rsidRDefault="001D6B76" w:rsidP="00EC5AF9">
            <w:pPr>
              <w:tabs>
                <w:tab w:val="left" w:pos="709"/>
                <w:tab w:val="left" w:pos="9356"/>
              </w:tabs>
              <w:ind w:right="-1"/>
              <w:jc w:val="both"/>
            </w:pPr>
            <w:r>
              <w:t>ADI SOYADI</w:t>
            </w:r>
          </w:p>
        </w:tc>
        <w:tc>
          <w:tcPr>
            <w:tcW w:w="1418" w:type="dxa"/>
          </w:tcPr>
          <w:p w:rsidR="001D6B76" w:rsidRDefault="001D6B76" w:rsidP="00EC5AF9">
            <w:pPr>
              <w:tabs>
                <w:tab w:val="left" w:pos="709"/>
                <w:tab w:val="left" w:pos="9356"/>
              </w:tabs>
              <w:ind w:right="-1"/>
              <w:jc w:val="both"/>
            </w:pPr>
            <w:r>
              <w:t>SİCİL NO</w:t>
            </w:r>
          </w:p>
        </w:tc>
        <w:tc>
          <w:tcPr>
            <w:tcW w:w="1417" w:type="dxa"/>
          </w:tcPr>
          <w:p w:rsidR="001D6B76" w:rsidRDefault="001D6B76" w:rsidP="00EC5AF9">
            <w:pPr>
              <w:tabs>
                <w:tab w:val="left" w:pos="709"/>
                <w:tab w:val="left" w:pos="9356"/>
              </w:tabs>
              <w:ind w:right="-1"/>
              <w:jc w:val="both"/>
            </w:pPr>
            <w:r>
              <w:t>STATÜ</w:t>
            </w:r>
          </w:p>
        </w:tc>
        <w:tc>
          <w:tcPr>
            <w:tcW w:w="3349" w:type="dxa"/>
          </w:tcPr>
          <w:p w:rsidR="001D6B76" w:rsidRDefault="001D6B76" w:rsidP="00EC5AF9">
            <w:pPr>
              <w:tabs>
                <w:tab w:val="left" w:pos="709"/>
                <w:tab w:val="left" w:pos="9356"/>
              </w:tabs>
              <w:ind w:right="-1"/>
              <w:jc w:val="both"/>
            </w:pPr>
            <w:r>
              <w:t>ÜNVAN</w:t>
            </w:r>
          </w:p>
        </w:tc>
      </w:tr>
      <w:tr w:rsidR="001D6B76" w:rsidTr="0086503B">
        <w:tc>
          <w:tcPr>
            <w:tcW w:w="757" w:type="dxa"/>
          </w:tcPr>
          <w:p w:rsidR="001D6B76" w:rsidRDefault="001D6B76" w:rsidP="00EC5AF9">
            <w:pPr>
              <w:tabs>
                <w:tab w:val="left" w:pos="709"/>
                <w:tab w:val="left" w:pos="9356"/>
              </w:tabs>
              <w:ind w:right="-1"/>
              <w:jc w:val="both"/>
            </w:pPr>
            <w:r>
              <w:t>1</w:t>
            </w:r>
          </w:p>
        </w:tc>
        <w:tc>
          <w:tcPr>
            <w:tcW w:w="2410" w:type="dxa"/>
          </w:tcPr>
          <w:p w:rsidR="001D6B76" w:rsidRDefault="001D6B76" w:rsidP="00EC5AF9">
            <w:pPr>
              <w:tabs>
                <w:tab w:val="left" w:pos="709"/>
                <w:tab w:val="left" w:pos="9356"/>
              </w:tabs>
              <w:ind w:right="-1"/>
              <w:jc w:val="both"/>
            </w:pPr>
            <w:r>
              <w:t xml:space="preserve">Mücahit ATAK </w:t>
            </w:r>
          </w:p>
        </w:tc>
        <w:tc>
          <w:tcPr>
            <w:tcW w:w="1418" w:type="dxa"/>
          </w:tcPr>
          <w:p w:rsidR="001D6B76" w:rsidRDefault="001D6B76" w:rsidP="00EC5AF9">
            <w:pPr>
              <w:tabs>
                <w:tab w:val="left" w:pos="709"/>
                <w:tab w:val="left" w:pos="9356"/>
              </w:tabs>
              <w:ind w:right="-1"/>
              <w:jc w:val="both"/>
            </w:pPr>
            <w:r>
              <w:t>8735</w:t>
            </w:r>
          </w:p>
        </w:tc>
        <w:tc>
          <w:tcPr>
            <w:tcW w:w="1417" w:type="dxa"/>
          </w:tcPr>
          <w:p w:rsidR="001D6B76" w:rsidRDefault="001D6B76" w:rsidP="00EC5AF9">
            <w:pPr>
              <w:tabs>
                <w:tab w:val="left" w:pos="709"/>
                <w:tab w:val="left" w:pos="9356"/>
              </w:tabs>
              <w:ind w:right="-1"/>
              <w:jc w:val="both"/>
            </w:pPr>
            <w:r>
              <w:t>Memur</w:t>
            </w:r>
          </w:p>
        </w:tc>
        <w:tc>
          <w:tcPr>
            <w:tcW w:w="3349" w:type="dxa"/>
          </w:tcPr>
          <w:p w:rsidR="001D6B76" w:rsidRPr="001D6B76" w:rsidRDefault="001D6B76" w:rsidP="00EC5AF9">
            <w:pPr>
              <w:tabs>
                <w:tab w:val="left" w:pos="709"/>
                <w:tab w:val="left" w:pos="9356"/>
              </w:tabs>
              <w:ind w:right="-1"/>
              <w:jc w:val="both"/>
            </w:pPr>
            <w:r w:rsidRPr="001D6B76">
              <w:t>Makine Mühendisi</w:t>
            </w:r>
          </w:p>
        </w:tc>
      </w:tr>
      <w:tr w:rsidR="001D6B76" w:rsidTr="0086503B">
        <w:tc>
          <w:tcPr>
            <w:tcW w:w="757" w:type="dxa"/>
            <w:vAlign w:val="center"/>
          </w:tcPr>
          <w:p w:rsidR="001D6B76" w:rsidRDefault="001D6B76" w:rsidP="0086503B">
            <w:pPr>
              <w:tabs>
                <w:tab w:val="left" w:pos="709"/>
                <w:tab w:val="left" w:pos="9356"/>
              </w:tabs>
              <w:ind w:right="-1"/>
            </w:pPr>
            <w:r>
              <w:t>2</w:t>
            </w:r>
          </w:p>
        </w:tc>
        <w:tc>
          <w:tcPr>
            <w:tcW w:w="2410" w:type="dxa"/>
            <w:vAlign w:val="center"/>
          </w:tcPr>
          <w:p w:rsidR="001D6B76" w:rsidRDefault="001D6B76" w:rsidP="0086503B">
            <w:pPr>
              <w:tabs>
                <w:tab w:val="left" w:pos="709"/>
                <w:tab w:val="left" w:pos="9356"/>
              </w:tabs>
              <w:ind w:right="-1"/>
            </w:pPr>
            <w:r>
              <w:t>Emrullah GÜRDAĞ</w:t>
            </w:r>
          </w:p>
        </w:tc>
        <w:tc>
          <w:tcPr>
            <w:tcW w:w="1418" w:type="dxa"/>
            <w:vAlign w:val="center"/>
          </w:tcPr>
          <w:p w:rsidR="001D6B76" w:rsidRDefault="001D6B76" w:rsidP="0086503B">
            <w:pPr>
              <w:tabs>
                <w:tab w:val="left" w:pos="709"/>
                <w:tab w:val="left" w:pos="9356"/>
              </w:tabs>
              <w:ind w:right="-1"/>
            </w:pPr>
            <w:r>
              <w:t>8304</w:t>
            </w:r>
          </w:p>
        </w:tc>
        <w:tc>
          <w:tcPr>
            <w:tcW w:w="1417" w:type="dxa"/>
            <w:vAlign w:val="center"/>
          </w:tcPr>
          <w:p w:rsidR="001D6B76" w:rsidRDefault="001D6B76" w:rsidP="0086503B">
            <w:pPr>
              <w:tabs>
                <w:tab w:val="left" w:pos="709"/>
                <w:tab w:val="left" w:pos="9356"/>
              </w:tabs>
              <w:ind w:right="-1"/>
            </w:pPr>
            <w:r>
              <w:t>Memur</w:t>
            </w:r>
          </w:p>
        </w:tc>
        <w:tc>
          <w:tcPr>
            <w:tcW w:w="3349" w:type="dxa"/>
            <w:vAlign w:val="center"/>
          </w:tcPr>
          <w:p w:rsidR="001D6B76" w:rsidRDefault="001D6B76" w:rsidP="0086503B">
            <w:pPr>
              <w:tabs>
                <w:tab w:val="left" w:pos="709"/>
                <w:tab w:val="left" w:pos="9356"/>
              </w:tabs>
              <w:ind w:right="-1"/>
            </w:pPr>
            <w:r>
              <w:t>Elektrik – Elektronik Mühendisi</w:t>
            </w:r>
          </w:p>
        </w:tc>
      </w:tr>
      <w:tr w:rsidR="001D6B76" w:rsidTr="0086503B">
        <w:tc>
          <w:tcPr>
            <w:tcW w:w="757" w:type="dxa"/>
          </w:tcPr>
          <w:p w:rsidR="001D6B76" w:rsidRDefault="001D6B76" w:rsidP="00EC5AF9">
            <w:pPr>
              <w:tabs>
                <w:tab w:val="left" w:pos="709"/>
                <w:tab w:val="left" w:pos="9356"/>
              </w:tabs>
              <w:ind w:right="-1"/>
              <w:jc w:val="both"/>
            </w:pPr>
            <w:r>
              <w:t>3</w:t>
            </w:r>
          </w:p>
        </w:tc>
        <w:tc>
          <w:tcPr>
            <w:tcW w:w="2410" w:type="dxa"/>
          </w:tcPr>
          <w:p w:rsidR="001D6B76" w:rsidRDefault="001D6B76" w:rsidP="00EC5AF9">
            <w:pPr>
              <w:tabs>
                <w:tab w:val="left" w:pos="709"/>
                <w:tab w:val="left" w:pos="9356"/>
              </w:tabs>
              <w:ind w:right="-1"/>
              <w:jc w:val="both"/>
            </w:pPr>
            <w:r>
              <w:t>Samet DİNÇER</w:t>
            </w:r>
          </w:p>
        </w:tc>
        <w:tc>
          <w:tcPr>
            <w:tcW w:w="1418" w:type="dxa"/>
          </w:tcPr>
          <w:p w:rsidR="001D6B76" w:rsidRDefault="001D6B76" w:rsidP="00EC5AF9">
            <w:pPr>
              <w:tabs>
                <w:tab w:val="left" w:pos="709"/>
                <w:tab w:val="left" w:pos="9356"/>
              </w:tabs>
              <w:ind w:right="-1"/>
              <w:jc w:val="both"/>
            </w:pPr>
            <w:r>
              <w:t>8688</w:t>
            </w:r>
          </w:p>
        </w:tc>
        <w:tc>
          <w:tcPr>
            <w:tcW w:w="1417" w:type="dxa"/>
          </w:tcPr>
          <w:p w:rsidR="001D6B76" w:rsidRDefault="001D6B76" w:rsidP="00EC5AF9">
            <w:pPr>
              <w:tabs>
                <w:tab w:val="left" w:pos="709"/>
                <w:tab w:val="left" w:pos="9356"/>
              </w:tabs>
              <w:ind w:right="-1"/>
              <w:jc w:val="both"/>
            </w:pPr>
            <w:r>
              <w:t>Memur</w:t>
            </w:r>
          </w:p>
        </w:tc>
        <w:tc>
          <w:tcPr>
            <w:tcW w:w="3349" w:type="dxa"/>
          </w:tcPr>
          <w:p w:rsidR="001D6B76" w:rsidRDefault="001D6B76" w:rsidP="00EC5AF9">
            <w:pPr>
              <w:tabs>
                <w:tab w:val="left" w:pos="709"/>
                <w:tab w:val="left" w:pos="9356"/>
              </w:tabs>
              <w:ind w:right="-1"/>
              <w:jc w:val="both"/>
            </w:pPr>
            <w:r>
              <w:t>Makine Mühendisi</w:t>
            </w:r>
          </w:p>
        </w:tc>
      </w:tr>
    </w:tbl>
    <w:p w:rsidR="001D6B76" w:rsidRDefault="001D6B76" w:rsidP="005B2035">
      <w:pPr>
        <w:tabs>
          <w:tab w:val="left" w:pos="709"/>
          <w:tab w:val="left" w:pos="9356"/>
        </w:tabs>
        <w:ind w:right="-1"/>
        <w:jc w:val="both"/>
      </w:pPr>
    </w:p>
    <w:p w:rsidR="00DF3CEF" w:rsidRDefault="00390959" w:rsidP="005B2035">
      <w:pPr>
        <w:tabs>
          <w:tab w:val="left" w:pos="709"/>
          <w:tab w:val="left" w:pos="9356"/>
        </w:tabs>
        <w:ind w:right="-1"/>
        <w:jc w:val="both"/>
      </w:pPr>
      <w:r>
        <w:tab/>
      </w:r>
    </w:p>
    <w:p w:rsidR="00067C4C" w:rsidRDefault="00DF3CEF" w:rsidP="005B2035">
      <w:pPr>
        <w:tabs>
          <w:tab w:val="left" w:pos="709"/>
          <w:tab w:val="left" w:pos="9356"/>
        </w:tabs>
        <w:ind w:right="-1"/>
        <w:jc w:val="both"/>
      </w:pPr>
      <w:r>
        <w:tab/>
        <w:t xml:space="preserve">Bu nedenle; Yukarıda isimleri ve unvanları yazılı personelleri </w:t>
      </w:r>
      <w:r w:rsidR="005B2035">
        <w:t xml:space="preserve">20.04.2026 - 23.04.2026 tarihleri arasında iaşe, ibate ve yol (uçak) masraflarının yüklenici firma tarafından, kanuni harcırahlarının ise </w:t>
      </w:r>
      <w:r w:rsidR="00390959">
        <w:t>ASKİ Genel Müdürlüğü</w:t>
      </w:r>
      <w:r w:rsidR="005B2035">
        <w:t xml:space="preserve"> tarafından karşılanması kaydıyla görevlendirilmeleri</w:t>
      </w:r>
      <w:r w:rsidR="0086503B">
        <w:t>ne</w:t>
      </w:r>
      <w:r w:rsidR="005B2035">
        <w:t xml:space="preserve"> </w:t>
      </w:r>
      <w:r w:rsidR="004F1245">
        <w:t>ilişkin teklif oylanarak oy</w:t>
      </w:r>
      <w:r w:rsidR="006210EA">
        <w:t xml:space="preserve">birliği </w:t>
      </w:r>
      <w:r w:rsidR="004F1245">
        <w:t>ile kabul edildi.</w:t>
      </w:r>
    </w:p>
    <w:p w:rsidR="004F1245" w:rsidRDefault="004F1245" w:rsidP="00491774">
      <w:pPr>
        <w:tabs>
          <w:tab w:val="left" w:pos="709"/>
        </w:tabs>
        <w:ind w:right="-1" w:firstLine="709"/>
        <w:jc w:val="both"/>
      </w:pPr>
    </w:p>
    <w:p w:rsidR="00DF3CEF" w:rsidRDefault="00DF3CEF" w:rsidP="00491774">
      <w:pPr>
        <w:tabs>
          <w:tab w:val="left" w:pos="709"/>
        </w:tabs>
        <w:ind w:right="-1" w:firstLine="709"/>
        <w:jc w:val="both"/>
      </w:pPr>
    </w:p>
    <w:p w:rsidR="00390959" w:rsidRDefault="00390959" w:rsidP="00491774">
      <w:pPr>
        <w:tabs>
          <w:tab w:val="left" w:pos="709"/>
        </w:tabs>
        <w:ind w:right="-1" w:firstLine="709"/>
        <w:jc w:val="both"/>
      </w:pPr>
    </w:p>
    <w:p w:rsidR="001D6B76" w:rsidRDefault="001D6B76"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F12F9" w:rsidTr="00F3656E">
        <w:trPr>
          <w:trHeight w:val="594"/>
          <w:jc w:val="center"/>
        </w:trPr>
        <w:tc>
          <w:tcPr>
            <w:tcW w:w="3402" w:type="dxa"/>
          </w:tcPr>
          <w:p w:rsidR="00AF12F9" w:rsidRPr="00743433" w:rsidRDefault="00AF12F9" w:rsidP="00F3656E">
            <w:pPr>
              <w:jc w:val="center"/>
            </w:pPr>
            <w:r>
              <w:t>Ertan IŞIK</w:t>
            </w:r>
          </w:p>
          <w:p w:rsidR="00AF12F9" w:rsidRDefault="00AF12F9" w:rsidP="00F3656E">
            <w:pPr>
              <w:autoSpaceDE w:val="0"/>
              <w:autoSpaceDN w:val="0"/>
              <w:adjustRightInd w:val="0"/>
              <w:jc w:val="center"/>
              <w:rPr>
                <w:color w:val="000000"/>
              </w:rPr>
            </w:pPr>
            <w:r>
              <w:rPr>
                <w:color w:val="000000"/>
              </w:rPr>
              <w:t>Meclis 1. Başkan V.</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 xml:space="preserve">   </w:t>
            </w:r>
            <w:r w:rsidR="004F1245">
              <w:rPr>
                <w:color w:val="000000"/>
              </w:rPr>
              <w:t>Serpil ÖZTÜRK</w:t>
            </w:r>
          </w:p>
          <w:p w:rsidR="00AF12F9" w:rsidRDefault="00AF12F9" w:rsidP="00F3656E">
            <w:pPr>
              <w:tabs>
                <w:tab w:val="left" w:pos="2920"/>
              </w:tabs>
              <w:jc w:val="center"/>
              <w:rPr>
                <w:color w:val="000000"/>
              </w:rPr>
            </w:pPr>
            <w:r>
              <w:rPr>
                <w:color w:val="000000"/>
              </w:rPr>
              <w:t>Divan Kâtibi</w:t>
            </w:r>
          </w:p>
        </w:tc>
        <w:tc>
          <w:tcPr>
            <w:tcW w:w="3402" w:type="dxa"/>
            <w:vAlign w:val="center"/>
          </w:tcPr>
          <w:p w:rsidR="00AF12F9" w:rsidRDefault="004F1245" w:rsidP="00F3656E">
            <w:pPr>
              <w:autoSpaceDE w:val="0"/>
              <w:autoSpaceDN w:val="0"/>
              <w:adjustRightInd w:val="0"/>
              <w:ind w:left="-20" w:hanging="122"/>
              <w:jc w:val="center"/>
              <w:rPr>
                <w:color w:val="000000"/>
              </w:rPr>
            </w:pPr>
            <w:r>
              <w:rPr>
                <w:color w:val="000000"/>
              </w:rPr>
              <w:t>Songül GÖLPUNAR</w:t>
            </w:r>
          </w:p>
          <w:p w:rsidR="00AF12F9" w:rsidRDefault="00AF12F9" w:rsidP="00F3656E">
            <w:pPr>
              <w:autoSpaceDE w:val="0"/>
              <w:autoSpaceDN w:val="0"/>
              <w:adjustRightInd w:val="0"/>
              <w:ind w:left="-20" w:hanging="122"/>
              <w:jc w:val="center"/>
              <w:rPr>
                <w:color w:val="000000"/>
              </w:rPr>
            </w:pPr>
            <w:r>
              <w:rPr>
                <w:color w:val="000000"/>
              </w:rPr>
              <w:t>Divan Kâtibi</w:t>
            </w:r>
          </w:p>
        </w:tc>
      </w:tr>
    </w:tbl>
    <w:p w:rsidR="00067C4C" w:rsidRDefault="00067C4C" w:rsidP="0049177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B7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0F2A"/>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0959"/>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A19"/>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31E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245"/>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0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0EA"/>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103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503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37C0"/>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8733F"/>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04B"/>
    <w:rsid w:val="00AE572A"/>
    <w:rsid w:val="00AE5DD8"/>
    <w:rsid w:val="00AE6791"/>
    <w:rsid w:val="00AE6890"/>
    <w:rsid w:val="00AE6910"/>
    <w:rsid w:val="00AE76F5"/>
    <w:rsid w:val="00AF08C3"/>
    <w:rsid w:val="00AF0B71"/>
    <w:rsid w:val="00AF11D2"/>
    <w:rsid w:val="00AF12F9"/>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CC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62"/>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CEF"/>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3C9A"/>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BC4"/>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769"/>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AA36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DAFC-FBF5-429D-8A31-13189A12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462</Words>
  <Characters>3451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8</cp:revision>
  <cp:lastPrinted>2026-04-14T06:31:00Z</cp:lastPrinted>
  <dcterms:created xsi:type="dcterms:W3CDTF">2026-04-13T08:10:00Z</dcterms:created>
  <dcterms:modified xsi:type="dcterms:W3CDTF">2026-04-20T06:37:00Z</dcterms:modified>
</cp:coreProperties>
</file>