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A3" w:rsidRDefault="004712A3" w:rsidP="00B63F9A">
      <w:pPr>
        <w:ind w:right="-1"/>
        <w:jc w:val="center"/>
      </w:pPr>
    </w:p>
    <w:p w:rsidR="00FB09C2" w:rsidRDefault="00B63F9A" w:rsidP="00B63F9A">
      <w:pPr>
        <w:ind w:right="-1"/>
        <w:jc w:val="center"/>
      </w:pPr>
      <w:r>
        <w:t>K A R A R</w:t>
      </w:r>
    </w:p>
    <w:p w:rsidR="00D536E6" w:rsidRDefault="00D536E6" w:rsidP="00B63F9A">
      <w:pPr>
        <w:ind w:right="-1"/>
        <w:jc w:val="center"/>
      </w:pPr>
    </w:p>
    <w:p w:rsidR="00EC582E" w:rsidRDefault="00EE5BF4" w:rsidP="00AA7ED1">
      <w:pPr>
        <w:ind w:right="-1" w:firstLine="708"/>
        <w:jc w:val="both"/>
      </w:pPr>
      <w:proofErr w:type="spellStart"/>
      <w:r>
        <w:t>Kahramankazan</w:t>
      </w:r>
      <w:proofErr w:type="spellEnd"/>
      <w:r>
        <w:t xml:space="preserve"> İlçesi Atatürk Mahallesi 221250 adanın kuzeyindeki park alanında 1/5000 ve 1/1000 ölçekli imar planı değişikliğine ilişkin </w:t>
      </w:r>
      <w:r w:rsidR="002C5AA0">
        <w:t>İmar ve Bayındırlık</w:t>
      </w:r>
      <w:r w:rsidR="009160FF" w:rsidRPr="00C1697D">
        <w:t xml:space="preserve"> </w:t>
      </w:r>
      <w:r w:rsidR="00A574C9" w:rsidRPr="007F325F">
        <w:t>Komisyonu</w:t>
      </w:r>
      <w:r w:rsidR="00BC700E">
        <w:t xml:space="preserve">nun </w:t>
      </w:r>
      <w:r w:rsidR="00D536E6">
        <w:t>29</w:t>
      </w:r>
      <w:r w:rsidR="00005846">
        <w:t>.</w:t>
      </w:r>
      <w:r w:rsidR="00D0737F">
        <w:t>01.2026</w:t>
      </w:r>
      <w:r w:rsidR="00A36F50">
        <w:t xml:space="preserve"> tarihli ve </w:t>
      </w:r>
      <w:r>
        <w:t xml:space="preserve">527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E5BF4" w:rsidRDefault="00EC582E" w:rsidP="00EE5BF4">
      <w:pPr>
        <w:tabs>
          <w:tab w:val="left" w:pos="0"/>
        </w:tabs>
        <w:ind w:right="-1" w:firstLine="709"/>
        <w:jc w:val="both"/>
      </w:pPr>
      <w:r w:rsidRPr="00E35A5A">
        <w:t>Konu üzerinde yapılan görüşmelerde;</w:t>
      </w:r>
      <w:r w:rsidR="002C5AA0">
        <w:t xml:space="preserve"> </w:t>
      </w:r>
      <w:proofErr w:type="spellStart"/>
      <w:r w:rsidR="00EE5BF4" w:rsidRPr="00771C93">
        <w:t>Kahramankazan</w:t>
      </w:r>
      <w:proofErr w:type="spellEnd"/>
      <w:r w:rsidR="00EE5BF4" w:rsidRPr="00771C93">
        <w:t xml:space="preserve"> Belediyesi İmar ve Şehircilik Müdürlüğünün 16.07.2025/64004886-9585 ile 03.12.2025/64004886-17358 tarih sayılı yazıların ve ekleri ile;</w:t>
      </w:r>
      <w:r w:rsidR="00EE5BF4">
        <w:t xml:space="preserve"> </w:t>
      </w:r>
      <w:proofErr w:type="spellStart"/>
      <w:r w:rsidR="00EE5BF4">
        <w:t>Kahramankazan</w:t>
      </w:r>
      <w:proofErr w:type="spellEnd"/>
      <w:r w:rsidR="00EE5BF4">
        <w:t xml:space="preserve"> Belediye Meclisi</w:t>
      </w:r>
      <w:r w:rsidR="00EE5BF4" w:rsidRPr="00771C93">
        <w:t>nin 03.07.2025 tarih ve 190 sayılı Kararı ile uygun görülen, “</w:t>
      </w:r>
      <w:proofErr w:type="spellStart"/>
      <w:r w:rsidR="00EE5BF4" w:rsidRPr="00771C93">
        <w:t>Kahramakazan</w:t>
      </w:r>
      <w:proofErr w:type="spellEnd"/>
      <w:r w:rsidR="00EE5BF4" w:rsidRPr="00771C93">
        <w:t xml:space="preserve"> İlçesi Atatürk Mahallesi 221250 adanın kuzeyinde bulunan park alanına ait, tavsiye nitelikli 1/5000 ölçekli Nazım İmar Planı Değişikliği ve Uygulama </w:t>
      </w:r>
      <w:r w:rsidR="00264E51">
        <w:t xml:space="preserve"> </w:t>
      </w:r>
      <w:bookmarkStart w:id="0" w:name="_GoBack"/>
      <w:bookmarkEnd w:id="0"/>
      <w:r w:rsidR="00EE5BF4" w:rsidRPr="00771C93">
        <w:t>İmar Planı Değişikliği” tekliflerine ilişkin dosya</w:t>
      </w:r>
      <w:r w:rsidR="00EE5BF4">
        <w:t>nın</w:t>
      </w:r>
      <w:r w:rsidR="00EE5BF4" w:rsidRPr="00771C93">
        <w:t xml:space="preserve">, 5216 sayılı Kanun uyarınca </w:t>
      </w:r>
      <w:r w:rsidR="00EE5BF4">
        <w:t xml:space="preserve">İmar ve Şehircilik Dairesi </w:t>
      </w:r>
      <w:r w:rsidR="00EE5BF4" w:rsidRPr="00771C93">
        <w:t>Başkanlığı</w:t>
      </w:r>
      <w:r w:rsidR="00EE5BF4">
        <w:t>na</w:t>
      </w:r>
      <w:r w:rsidR="00EE5BF4" w:rsidRPr="00771C93">
        <w:t xml:space="preserve"> sunul</w:t>
      </w:r>
      <w:r w:rsidR="00EE5BF4">
        <w:t>duğu,</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rPr>
          <w:b/>
        </w:rPr>
      </w:pPr>
      <w:r w:rsidRPr="00771C93">
        <w:rPr>
          <w:b/>
        </w:rPr>
        <w:t>Yapılan incelemede;</w:t>
      </w:r>
    </w:p>
    <w:p w:rsidR="00EE5BF4" w:rsidRDefault="00EE5BF4" w:rsidP="00EE5BF4">
      <w:pPr>
        <w:tabs>
          <w:tab w:val="left" w:pos="0"/>
        </w:tabs>
        <w:ind w:right="-1" w:firstLine="709"/>
        <w:jc w:val="both"/>
      </w:pPr>
      <w:r w:rsidRPr="00771C93">
        <w:rPr>
          <w:b/>
        </w:rPr>
        <w:t>Teklife Konu Alanın Mülkiyet ve Mevcut İmar Durumunun,</w:t>
      </w:r>
      <w:r w:rsidRPr="00771C93">
        <w:t> Plan değişikliği teklifine konu </w:t>
      </w:r>
      <w:proofErr w:type="spellStart"/>
      <w:r w:rsidRPr="00771C93">
        <w:t>Kahramakazan</w:t>
      </w:r>
      <w:proofErr w:type="spellEnd"/>
      <w:r w:rsidRPr="00771C93">
        <w:t xml:space="preserve"> İlçesi, Atatürk Mahallesi 221250 adanın kuzeyinde bulunan park alanının toplam 3438 m² yüzölçümlü ve tescile tabi olmayan kamu ta</w:t>
      </w:r>
      <w:r>
        <w:t>sarrufundaki alanlardan olduğu,</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Değişiklik teklifine konu alanın Ankara Büy</w:t>
      </w:r>
      <w:r>
        <w:t>ükşehir Belediyesi Meclisi</w:t>
      </w:r>
      <w:r w:rsidRPr="00771C93">
        <w:t>nin 27.11.2015 tarih ve 2015/2443 sayılı Kararı ile onaylanan “</w:t>
      </w:r>
      <w:proofErr w:type="spellStart"/>
      <w:r w:rsidRPr="00771C93">
        <w:t>Kahramakazan</w:t>
      </w:r>
      <w:proofErr w:type="spellEnd"/>
      <w:r w:rsidRPr="00771C93">
        <w:t xml:space="preserve"> İlçesi Merkez Mahallelerine Ait 1/1000 ölçekli Uygulama İmar Planı Revizyonu” ​planı kapsamında “Park Alanı”</w:t>
      </w:r>
      <w:r>
        <w:t> kullanımında olduğu,</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rPr>
          <w:b/>
        </w:rPr>
        <w:t>Tavsiye Nitelikli 1/5000 Ölçekli Plan Değişikliği Teklifi ve Plan Açıklama Raporunda,</w:t>
      </w:r>
      <w:r w:rsidRPr="00771C93">
        <w:t> </w:t>
      </w:r>
      <w:proofErr w:type="spellStart"/>
      <w:r w:rsidRPr="00771C93">
        <w:t>Kahramankazan</w:t>
      </w:r>
      <w:proofErr w:type="spellEnd"/>
      <w:r w:rsidRPr="00771C93">
        <w:t xml:space="preserve"> Kaymakamlığı İlçe Sağlık Müdürlüğü'nün </w:t>
      </w:r>
      <w:proofErr w:type="spellStart"/>
      <w:r w:rsidRPr="00771C93">
        <w:t>bila</w:t>
      </w:r>
      <w:proofErr w:type="spellEnd"/>
      <w:r w:rsidRPr="00771C93">
        <w:t xml:space="preserve"> tarih ve E-31079760-754-276286593 sayılı yazısında, İlçe merkezinde sağlık alanına ihtiyaç duyulduğu belirtilerek, sağlıklı yaşam merkezi ve aile sağlığı merkezi projesi için Atatürk Mahallesi 221250 adanın kuzeyinde bulunan park alanında plan değişikliği yapılarak bu alanda "Sağlık Alanı" kullanımına ayrılmasının t</w:t>
      </w:r>
      <w:r>
        <w:t>alep edildiğinin belirtildiği,</w:t>
      </w:r>
      <w:proofErr w:type="gramEnd"/>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rPr>
          <w:b/>
        </w:rPr>
        <w:t>1/1000 Ölçekli Uygulama İmar Planı Değişikliği Teklifi ve Plan Açıklama Raporunda,</w:t>
      </w:r>
      <w:r w:rsidRPr="00771C93">
        <w:t> İlçe Sağlık Müdürlüğü binası bünyesinde onayı alınmış olarak göreve başlayan sağlıklı yaşam merkezinin konumunun halkın ulaşabileceği bir yerde olmaması ve nüfus artışı sebebiyle 4 birimlik yeni bir aile sağlığı merkezi yapılabilmesi için ilçe merkezinde sağlık alanına iht</w:t>
      </w:r>
      <w:r>
        <w:t>iyaç duyulduğunun belirtildiği,</w:t>
      </w:r>
      <w:proofErr w:type="gramEnd"/>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t>Ayrıca, tavsiye 1/5000 nazım imar planı değişikliği ve 1/1000 ölçekli uygulama imar planı değişikliği tekliflerine konu altyapı ile ilgili kurum ve kuruluşlardan; ASKİ Genel Müdürlüğü  Planlama Koordinasyon ve Dış İlişkiler Dairesi Başkanlığı Planlama Şube Müdürlüğü’nün 17.06.2025 tarih ve 839041 sayılı yazısı ile “.</w:t>
      </w:r>
      <w:r>
        <w:t>.</w:t>
      </w:r>
      <w:r w:rsidRPr="00771C93">
        <w:t xml:space="preserve">.Söz konusu alanda mevcut hatlarımız bulunmakta olup, sayısalları yazımız ekinde gönderilmektedir. </w:t>
      </w:r>
      <w:proofErr w:type="gramEnd"/>
      <w:r w:rsidRPr="00771C93">
        <w:t>Diğer taraftan, DSİ'nin yeraltı suyu tahsisine kapalı sahasında kaldığı tespit edilmiştir. B</w:t>
      </w:r>
      <w:r>
        <w:t>u</w:t>
      </w:r>
      <w:r w:rsidRPr="00771C93">
        <w:t xml:space="preserve"> nedenle DSİ’den kurum görüşü alınması ve planlama esnasında şebeke bütünlüğü açısından altyapı imalatlarının deplase edilmesi mümkün olmadığından çalışmalar </w:t>
      </w:r>
      <w:r>
        <w:t>esnasında mevcutların korunması.</w:t>
      </w:r>
      <w:r w:rsidRPr="00771C93">
        <w:t>..</w:t>
      </w:r>
      <w:r>
        <w:t>”, şeklinde görüş verdiği,</w:t>
      </w:r>
    </w:p>
    <w:p w:rsidR="00EE5BF4" w:rsidRDefault="00EE5BF4" w:rsidP="00EE5BF4">
      <w:pPr>
        <w:tabs>
          <w:tab w:val="left" w:pos="0"/>
        </w:tabs>
        <w:ind w:right="-1"/>
        <w:jc w:val="center"/>
      </w:pPr>
    </w:p>
    <w:p w:rsidR="00EE5BF4" w:rsidRDefault="00EE5BF4" w:rsidP="00EE5BF4">
      <w:pPr>
        <w:tabs>
          <w:tab w:val="left" w:pos="0"/>
        </w:tabs>
        <w:ind w:right="-1"/>
        <w:jc w:val="center"/>
      </w:pPr>
    </w:p>
    <w:p w:rsidR="00EE5BF4" w:rsidRDefault="00EE5BF4" w:rsidP="00EE5BF4">
      <w:pPr>
        <w:tabs>
          <w:tab w:val="left" w:pos="0"/>
        </w:tabs>
        <w:ind w:right="-1"/>
        <w:jc w:val="center"/>
      </w:pPr>
      <w:r>
        <w:t>-2-</w:t>
      </w:r>
    </w:p>
    <w:p w:rsidR="00EE5BF4" w:rsidRDefault="00EE5BF4" w:rsidP="00EE5BF4">
      <w:pPr>
        <w:tabs>
          <w:tab w:val="left" w:pos="0"/>
        </w:tabs>
        <w:ind w:right="-1"/>
        <w:jc w:val="center"/>
      </w:pPr>
    </w:p>
    <w:p w:rsidR="00EE5BF4" w:rsidRDefault="00EE5BF4" w:rsidP="00EE5BF4">
      <w:pPr>
        <w:tabs>
          <w:tab w:val="left" w:pos="0"/>
        </w:tabs>
        <w:ind w:right="-1"/>
        <w:jc w:val="center"/>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Başkent Doğalgaz Dağıtım Gayrimenkul Yatırım Ortaklığı AŞ. </w:t>
      </w:r>
      <w:proofErr w:type="spellStart"/>
      <w:r w:rsidRPr="00771C93">
        <w:t>Etüd</w:t>
      </w:r>
      <w:proofErr w:type="spellEnd"/>
      <w:r w:rsidRPr="00771C93">
        <w:t xml:space="preserve"> Proje Müdürlüğü’nün 10.06.2025 tarih ve E. 119982sayılı yazısı ile “…Söz konusu alanda herhangi bir doğal gaz hattı bulunmamaktadır...”</w:t>
      </w:r>
      <w:r>
        <w:t> şeklinde görüş verdiği,</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Başkent Elektrik Dağıtım A.Ş.’</w:t>
      </w:r>
      <w:proofErr w:type="spellStart"/>
      <w:r w:rsidRPr="00771C93">
        <w:t>nin</w:t>
      </w:r>
      <w:proofErr w:type="spellEnd"/>
      <w:r w:rsidRPr="00771C93">
        <w:t xml:space="preserve"> 01.06.2025 tarih ve </w:t>
      </w:r>
      <w:proofErr w:type="gramStart"/>
      <w:r w:rsidRPr="00771C93">
        <w:t>683668  sayılı</w:t>
      </w:r>
      <w:proofErr w:type="gramEnd"/>
      <w:r w:rsidRPr="00771C93">
        <w:t xml:space="preserve"> yazısı ile “İlgi yazıda talep ettiğiniz bölgedeki altyapı ve üstyapı tesislerimize alt güzergâh bilgileri coğrafi bilgi sistemimiz üzerinden alınarak yazımız ekinde bilgilerinize sunulmuştur</w:t>
      </w:r>
      <w:r>
        <w:t>…</w:t>
      </w:r>
      <w:r w:rsidRPr="00771C93">
        <w:t xml:space="preserve"> İlgi yazınıza konu olan bölgede 2025 yılı için bir yatırım planımız bulunmamakla birlikte, söz konusu parsele yakın durumda bulunan mevcut elektrik dağıtım şebekelerimiz bulunmaktadır. Yapılması planlanan imar planında parsel yakınında kalan mevcut dağıtım tesislerimiz göz önünde bulundurulması</w:t>
      </w:r>
      <w:r>
        <w:t>.</w:t>
      </w:r>
      <w:r w:rsidRPr="00771C93">
        <w:t>..” şeklinde görüş verdiği, ancak eki sayısal verilerin plan işlem dosyasında bulunmadığı,</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Tarım ve Orman Bakanlığı DSİ Genel Müdürlüğü 5. Bölge Müdürlüğü’nün 26.06.2025 tarih ve E-6011102 sayılı yazısı </w:t>
      </w:r>
      <w:proofErr w:type="gramStart"/>
      <w:r w:rsidRPr="00771C93">
        <w:t>ile;</w:t>
      </w:r>
      <w:proofErr w:type="gramEnd"/>
      <w:r w:rsidRPr="00771C93">
        <w:t xml:space="preserve"> “Söz konusu alanın DSİ projeleri kapsamında yer almadığı; içme ve kullanma </w:t>
      </w:r>
      <w:r>
        <w:t>suyu temin eden baraj ya da göl</w:t>
      </w:r>
      <w:r w:rsidRPr="00771C93">
        <w:t xml:space="preserve"> koruma alanında bulunmadığı görülmüştür. Bahse konu alanda imar planı değişikliği yapılması hususu Kuruluşumuzca uygun değerlendirilmektedir.​</w:t>
      </w:r>
      <w:r>
        <w:t>" şeklinde görüş verdiği,</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Ankara Valiliği İl Sağlık Müdürlüğü Destek Hizmetleri Başkanlığı’nın tarih ve 278677442 sayılı yazısı </w:t>
      </w:r>
      <w:proofErr w:type="gramStart"/>
      <w:r w:rsidRPr="00771C93">
        <w:t>ile;</w:t>
      </w:r>
      <w:proofErr w:type="gramEnd"/>
      <w:r w:rsidRPr="00771C93">
        <w:t xml:space="preserve"> “İlgi a) ve b) de kayıtlı yazılara istinaden yapılan incelemelerde; </w:t>
      </w:r>
      <w:proofErr w:type="spellStart"/>
      <w:r w:rsidRPr="00771C93">
        <w:t>Kahramankazan</w:t>
      </w:r>
      <w:proofErr w:type="spellEnd"/>
      <w:r w:rsidRPr="00771C93">
        <w:t xml:space="preserve"> İlçesi, Atatürk Mahallesi 221250 adanın kuzeyinde bulunan Park içerisinden. Sağlıklı Hayat Merkezi yapılmak üzere Emsal: 1.00 Kat:5 yapılaşma koşulları oluşturulması suretiyle, 1.000,00 m² yüzölçümlü Sağlık Alanı oluşturulması Müdürlüğümüzce uygun görülmüştür…</w:t>
      </w:r>
      <w:r>
        <w:t>” şeklinde görüş verildiği,</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spellStart"/>
      <w:r w:rsidRPr="00771C93">
        <w:t>Kahramankazan</w:t>
      </w:r>
      <w:proofErr w:type="spellEnd"/>
      <w:r w:rsidRPr="00771C93">
        <w:t xml:space="preserve"> Belediyesi Park ve Bahçeler Şube Müdürlüğü’nün 12.12.2025 tarih ve 18150 sayılı yazısı </w:t>
      </w:r>
      <w:proofErr w:type="gramStart"/>
      <w:r w:rsidRPr="00771C93">
        <w:t>ile;</w:t>
      </w:r>
      <w:proofErr w:type="gramEnd"/>
      <w:r w:rsidRPr="00771C93">
        <w:t xml:space="preserve"> “…Söz konusu alanda düşünülen planlama ile ilgili Müdürlüğümüzce her hangi bir sakınca bulunmamaktadır…” ş</w:t>
      </w:r>
      <w:r>
        <w:t>eklinde görüş verdiği,</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1/5000 ölçekli Nazım İmar planı değişiklik teklifinde 3438 m² büyüklüğündeki park alanının 1000 m²'sinin Sağlık </w:t>
      </w:r>
      <w:r>
        <w:t>Tesis Alanı olarak planlandığı,</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"1. Bu planda belirtilmeyen hususlarda, </w:t>
      </w:r>
      <w:proofErr w:type="spellStart"/>
      <w:r w:rsidRPr="00771C93">
        <w:t>Kahramankazan</w:t>
      </w:r>
      <w:proofErr w:type="spellEnd"/>
      <w:r w:rsidRPr="00771C93">
        <w:t xml:space="preserve"> Belediye Meclisinin 06.05.2015 tarih ve 2015/98 sayılı kararı, Ankara Büyükşehir Belediyesi Meclisinin 27.11.2015 tarih ve 2015/2443 sayılı kararı ile onaylanan ilçemiz merkez mahallelerine ait 1/5000 ölçekli nazım imar planı </w:t>
      </w:r>
      <w:proofErr w:type="gramStart"/>
      <w:r w:rsidRPr="00771C93">
        <w:t>revizyonu</w:t>
      </w:r>
      <w:proofErr w:type="gramEnd"/>
      <w:r w:rsidRPr="00771C93">
        <w:t xml:space="preserve"> plan notları geçerlidir." şeklinde 1 adet plan no</w:t>
      </w:r>
      <w:r>
        <w:t>tu önerildiği,</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1/1000 Ölçekli Uygulama İmar Planı Değişikliği Teklifinde ise 221250 adanın kuzeyinde bulunan park alanının 1000 metrekarelik kısmının " E:1.00 </w:t>
      </w:r>
      <w:proofErr w:type="spellStart"/>
      <w:r w:rsidRPr="00771C93">
        <w:t>Yençok</w:t>
      </w:r>
      <w:proofErr w:type="spellEnd"/>
      <w:r w:rsidRPr="00771C93">
        <w:t>: 4 kat yapılaşma koşullarında Sağlık Tesisi Alanı</w:t>
      </w:r>
      <w:r>
        <w:t>”,</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jc w:val="center"/>
      </w:pPr>
    </w:p>
    <w:p w:rsidR="00EE5BF4" w:rsidRDefault="00EE5BF4" w:rsidP="00EE5BF4">
      <w:pPr>
        <w:tabs>
          <w:tab w:val="left" w:pos="0"/>
        </w:tabs>
        <w:ind w:right="-1"/>
        <w:jc w:val="center"/>
      </w:pPr>
      <w:r>
        <w:t>-3-</w:t>
      </w:r>
    </w:p>
    <w:p w:rsidR="00EE5BF4" w:rsidRDefault="00EE5BF4" w:rsidP="00EE5BF4">
      <w:pPr>
        <w:tabs>
          <w:tab w:val="left" w:pos="0"/>
        </w:tabs>
        <w:ind w:right="-1"/>
        <w:jc w:val="center"/>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t xml:space="preserve">"1. Bu planda belirtilmeyen hususlarda, </w:t>
      </w:r>
      <w:proofErr w:type="spellStart"/>
      <w:r w:rsidRPr="00771C93">
        <w:t>Kahramankazan</w:t>
      </w:r>
      <w:proofErr w:type="spellEnd"/>
      <w:r w:rsidRPr="00771C93">
        <w:t xml:space="preserve"> Belediye Meclisinin 06.05.2015 tarih ve 2015/98 sayılı karan, Ankara Büyükşehir Belediyesi Meclisinin 27.11.2015 tarih ve 2015/2443 sayılı karan ile onaylanan İlçemiz Merkez Mahallelerine Ait 1/1000 Ölçekli Uygulama İmar Planı Revizyonu plan notları geçerlidir." şeklindeki 1</w:t>
      </w:r>
      <w:r>
        <w:t xml:space="preserve"> adet plan notu ile önerildiği,</w:t>
      </w:r>
      <w:proofErr w:type="gramEnd"/>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Talep doğrultusunda </w:t>
      </w:r>
      <w:proofErr w:type="spellStart"/>
      <w:r w:rsidRPr="00771C93">
        <w:t>Kahramankazan</w:t>
      </w:r>
      <w:proofErr w:type="spellEnd"/>
      <w:r w:rsidRPr="00771C93">
        <w:t xml:space="preserve"> Belediye başkanlığınca hazırlanan plan değişikliği teklifine ait alan dağılımının,</w:t>
      </w:r>
    </w:p>
    <w:p w:rsidR="00EE5BF4" w:rsidRPr="00771C93" w:rsidRDefault="00EE5BF4" w:rsidP="00EE5BF4">
      <w:pPr>
        <w:tabs>
          <w:tab w:val="left" w:pos="0"/>
        </w:tabs>
        <w:ind w:right="-1" w:firstLine="709"/>
        <w:jc w:val="both"/>
      </w:pPr>
    </w:p>
    <w:tbl>
      <w:tblPr>
        <w:tblW w:w="7965" w:type="dxa"/>
        <w:tblCellMar>
          <w:top w:w="15" w:type="dxa"/>
          <w:left w:w="15" w:type="dxa"/>
          <w:bottom w:w="15" w:type="dxa"/>
          <w:right w:w="15" w:type="dxa"/>
        </w:tblCellMar>
        <w:tblLook w:val="04A0" w:firstRow="1" w:lastRow="0" w:firstColumn="1" w:lastColumn="0" w:noHBand="0" w:noVBand="1"/>
      </w:tblPr>
      <w:tblGrid>
        <w:gridCol w:w="3481"/>
        <w:gridCol w:w="2439"/>
        <w:gridCol w:w="2045"/>
      </w:tblGrid>
      <w:tr w:rsidR="00EE5BF4" w:rsidRPr="00771C93" w:rsidTr="00472360">
        <w:tc>
          <w:tcPr>
            <w:tcW w:w="0" w:type="auto"/>
            <w:gridSpan w:val="3"/>
            <w:tcBorders>
              <w:top w:val="dashed" w:sz="6" w:space="0" w:color="999999"/>
              <w:left w:val="dashed" w:sz="6" w:space="0" w:color="999999"/>
            </w:tcBorders>
            <w:shd w:val="clear" w:color="auto" w:fill="D6E8FF"/>
            <w:tcMar>
              <w:top w:w="0" w:type="dxa"/>
              <w:left w:w="108" w:type="dxa"/>
              <w:bottom w:w="0" w:type="dxa"/>
              <w:right w:w="108" w:type="dxa"/>
            </w:tcMar>
            <w:vAlign w:val="center"/>
            <w:hideMark/>
          </w:tcPr>
          <w:p w:rsidR="00EE5BF4" w:rsidRPr="00771C93" w:rsidRDefault="00EE5BF4" w:rsidP="00472360">
            <w:pPr>
              <w:tabs>
                <w:tab w:val="left" w:pos="0"/>
              </w:tabs>
              <w:ind w:right="-1"/>
              <w:jc w:val="center"/>
            </w:pPr>
            <w:r w:rsidRPr="00771C93">
              <w:t>ALAN DAĞILIM TABLOSU</w:t>
            </w:r>
          </w:p>
        </w:tc>
      </w:tr>
      <w:tr w:rsidR="00EE5BF4" w:rsidRPr="00771C93" w:rsidTr="00472360">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firstLine="709"/>
              <w:jc w:val="center"/>
            </w:pPr>
            <w:r w:rsidRPr="00771C93">
              <w:t>​</w:t>
            </w:r>
          </w:p>
        </w:tc>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jc w:val="center"/>
            </w:pPr>
            <w:r w:rsidRPr="00771C93">
              <w:t>MEVCUT (M²)</w:t>
            </w:r>
          </w:p>
        </w:tc>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jc w:val="center"/>
            </w:pPr>
            <w:r w:rsidRPr="00771C93">
              <w:t>ÖNERİ (M²)</w:t>
            </w:r>
          </w:p>
        </w:tc>
      </w:tr>
      <w:tr w:rsidR="00EE5BF4" w:rsidRPr="00771C93" w:rsidTr="00472360">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PARK ALANI</w:t>
            </w:r>
          </w:p>
        </w:tc>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3438</w:t>
            </w:r>
          </w:p>
        </w:tc>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2438</w:t>
            </w:r>
          </w:p>
        </w:tc>
      </w:tr>
      <w:tr w:rsidR="00EE5BF4" w:rsidRPr="00771C93" w:rsidTr="00472360">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jc w:val="center"/>
            </w:pPr>
            <w:r w:rsidRPr="00771C93">
              <w:t>SAĞLIK ALANI</w:t>
            </w:r>
          </w:p>
        </w:tc>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jc w:val="center"/>
            </w:pPr>
            <w:r w:rsidRPr="00771C93">
              <w:t>-</w:t>
            </w:r>
          </w:p>
        </w:tc>
        <w:tc>
          <w:tcPr>
            <w:tcW w:w="0" w:type="auto"/>
            <w:tcBorders>
              <w:top w:val="dashed" w:sz="6" w:space="0" w:color="999999"/>
              <w:left w:val="dashed" w:sz="6" w:space="0" w:color="999999"/>
            </w:tcBorders>
            <w:shd w:val="clear" w:color="auto" w:fill="F2F3F4"/>
            <w:tcMar>
              <w:top w:w="0" w:type="dxa"/>
              <w:left w:w="108" w:type="dxa"/>
              <w:bottom w:w="0" w:type="dxa"/>
              <w:right w:w="108" w:type="dxa"/>
            </w:tcMar>
            <w:hideMark/>
          </w:tcPr>
          <w:p w:rsidR="00EE5BF4" w:rsidRPr="00771C93" w:rsidRDefault="00EE5BF4" w:rsidP="00472360">
            <w:pPr>
              <w:tabs>
                <w:tab w:val="left" w:pos="0"/>
              </w:tabs>
              <w:ind w:right="-1"/>
              <w:jc w:val="center"/>
            </w:pPr>
            <w:r w:rsidRPr="00771C93">
              <w:t>1000</w:t>
            </w:r>
          </w:p>
        </w:tc>
      </w:tr>
      <w:tr w:rsidR="00EE5BF4" w:rsidRPr="00771C93" w:rsidTr="00472360">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REGÜLATÖR ALANI</w:t>
            </w:r>
          </w:p>
        </w:tc>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394</w:t>
            </w:r>
          </w:p>
        </w:tc>
        <w:tc>
          <w:tcPr>
            <w:tcW w:w="0" w:type="auto"/>
            <w:tcBorders>
              <w:top w:val="dashed" w:sz="6" w:space="0" w:color="999999"/>
              <w:left w:val="dashed" w:sz="6" w:space="0" w:color="999999"/>
            </w:tcBorders>
            <w:shd w:val="clear" w:color="auto" w:fill="E7EBF7"/>
            <w:tcMar>
              <w:top w:w="0" w:type="dxa"/>
              <w:left w:w="108" w:type="dxa"/>
              <w:bottom w:w="0" w:type="dxa"/>
              <w:right w:w="108" w:type="dxa"/>
            </w:tcMar>
            <w:hideMark/>
          </w:tcPr>
          <w:p w:rsidR="00EE5BF4" w:rsidRPr="00771C93" w:rsidRDefault="00EE5BF4" w:rsidP="00472360">
            <w:pPr>
              <w:tabs>
                <w:tab w:val="left" w:pos="0"/>
              </w:tabs>
              <w:ind w:right="-1"/>
              <w:jc w:val="center"/>
            </w:pPr>
            <w:r w:rsidRPr="00771C93">
              <w:t>394</w:t>
            </w:r>
          </w:p>
        </w:tc>
      </w:tr>
      <w:tr w:rsidR="00EE5BF4" w:rsidRPr="00771C93" w:rsidTr="00472360">
        <w:tc>
          <w:tcPr>
            <w:tcW w:w="0" w:type="auto"/>
            <w:tcBorders>
              <w:top w:val="single" w:sz="8" w:space="0" w:color="808080"/>
              <w:left w:val="dashed" w:sz="6" w:space="0" w:color="999999"/>
            </w:tcBorders>
            <w:shd w:val="clear" w:color="auto" w:fill="D6E8FF"/>
            <w:tcMar>
              <w:top w:w="0" w:type="dxa"/>
              <w:left w:w="108" w:type="dxa"/>
              <w:bottom w:w="0" w:type="dxa"/>
              <w:right w:w="108" w:type="dxa"/>
            </w:tcMar>
            <w:vAlign w:val="center"/>
            <w:hideMark/>
          </w:tcPr>
          <w:p w:rsidR="00EE5BF4" w:rsidRPr="00771C93" w:rsidRDefault="00EE5BF4" w:rsidP="00472360">
            <w:pPr>
              <w:tabs>
                <w:tab w:val="left" w:pos="0"/>
              </w:tabs>
              <w:ind w:right="-1"/>
              <w:jc w:val="center"/>
            </w:pPr>
            <w:r w:rsidRPr="00771C93">
              <w:t>TRAFO ALANI</w:t>
            </w:r>
          </w:p>
        </w:tc>
        <w:tc>
          <w:tcPr>
            <w:tcW w:w="0" w:type="auto"/>
            <w:tcBorders>
              <w:top w:val="single" w:sz="8" w:space="0" w:color="808080"/>
              <w:left w:val="dashed" w:sz="6" w:space="0" w:color="999999"/>
            </w:tcBorders>
            <w:shd w:val="clear" w:color="auto" w:fill="D6E8FF"/>
            <w:tcMar>
              <w:top w:w="0" w:type="dxa"/>
              <w:left w:w="108" w:type="dxa"/>
              <w:bottom w:w="0" w:type="dxa"/>
              <w:right w:w="108" w:type="dxa"/>
            </w:tcMar>
            <w:vAlign w:val="center"/>
            <w:hideMark/>
          </w:tcPr>
          <w:p w:rsidR="00EE5BF4" w:rsidRPr="00771C93" w:rsidRDefault="00EE5BF4" w:rsidP="00472360">
            <w:pPr>
              <w:tabs>
                <w:tab w:val="left" w:pos="0"/>
              </w:tabs>
              <w:ind w:right="-1"/>
              <w:jc w:val="center"/>
            </w:pPr>
            <w:r w:rsidRPr="00771C93">
              <w:t>42</w:t>
            </w:r>
          </w:p>
        </w:tc>
        <w:tc>
          <w:tcPr>
            <w:tcW w:w="0" w:type="auto"/>
            <w:tcBorders>
              <w:top w:val="single" w:sz="8" w:space="0" w:color="808080"/>
              <w:left w:val="dashed" w:sz="6" w:space="0" w:color="999999"/>
            </w:tcBorders>
            <w:shd w:val="clear" w:color="auto" w:fill="D6E8FF"/>
            <w:tcMar>
              <w:top w:w="0" w:type="dxa"/>
              <w:left w:w="108" w:type="dxa"/>
              <w:bottom w:w="0" w:type="dxa"/>
              <w:right w:w="108" w:type="dxa"/>
            </w:tcMar>
            <w:vAlign w:val="center"/>
            <w:hideMark/>
          </w:tcPr>
          <w:p w:rsidR="00EE5BF4" w:rsidRPr="00771C93" w:rsidRDefault="00EE5BF4" w:rsidP="00472360">
            <w:pPr>
              <w:tabs>
                <w:tab w:val="left" w:pos="0"/>
              </w:tabs>
              <w:ind w:right="-1"/>
              <w:jc w:val="center"/>
            </w:pPr>
            <w:r w:rsidRPr="00771C93">
              <w:t>42</w:t>
            </w:r>
          </w:p>
        </w:tc>
      </w:tr>
    </w:tbl>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t>Şeklinde olduğu,</w:t>
      </w:r>
    </w:p>
    <w:p w:rsidR="00EE5BF4" w:rsidRDefault="00EE5BF4" w:rsidP="00EE5BF4">
      <w:pPr>
        <w:tabs>
          <w:tab w:val="left" w:pos="0"/>
        </w:tabs>
        <w:ind w:right="-1" w:firstLine="709"/>
        <w:jc w:val="both"/>
      </w:pPr>
    </w:p>
    <w:p w:rsidR="00EE5BF4" w:rsidRPr="00771C93" w:rsidRDefault="00EE5BF4" w:rsidP="00EE5BF4">
      <w:pPr>
        <w:tabs>
          <w:tab w:val="left" w:pos="0"/>
        </w:tabs>
        <w:ind w:right="-1" w:firstLine="709"/>
        <w:jc w:val="both"/>
        <w:rPr>
          <w:b/>
        </w:rPr>
      </w:pPr>
      <w:r w:rsidRPr="00771C93">
        <w:rPr>
          <w:b/>
        </w:rPr>
        <w:t>Başkanlığımızca yapılan değerlendirmede,</w:t>
      </w:r>
    </w:p>
    <w:p w:rsidR="00EE5BF4" w:rsidRDefault="00EE5BF4" w:rsidP="00EE5BF4">
      <w:pPr>
        <w:tabs>
          <w:tab w:val="left" w:pos="0"/>
        </w:tabs>
        <w:ind w:right="-1" w:firstLine="709"/>
        <w:jc w:val="both"/>
      </w:pPr>
      <w:proofErr w:type="gramStart"/>
      <w:r w:rsidRPr="00771C93">
        <w:t>Park alanlarında sağlık tesisi yapılabilmesine dair 3194 sayılı Kanunun Ek 12. Maddesinde; "Toplam yüz ölçümü 2.500 metrekareden büyük parklarda eşdeğer alan ayrılmaksızın ve imar planı değişikliği yapılmadan acil sağlık hizmetleri istasyonu, sağlıklı hayat merkezi ve aile sağlığı merkezi yapılması için Sağlık Bakanlığının talebi üzerine yetkili idare veya Çevre, Şehircilik ve İklim Değişikliği Bakanlığı tarafından yer tahsisi yapılabilir.</w:t>
      </w:r>
      <w:proofErr w:type="gramEnd"/>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t>Tahsis işlemi; yüz ölçümü 2.500 metrekareden 5.000 metrekareye kadar olan parklarda muvakkat yapı ölçülerini aşmamak, 5.000 metrekareden büyük parklarda ise 250 metrekare taban alanı, kat adedi 2 ve bina yüksekliği 7,50 metreden fazla olmamak kaydıyla yapılacak sağlık tesisleri için tahsis edilen alan büyüklüğü, taban alanının iki katını geçmeyecek şekilde Sağlık Bakanlığınca talep edilen yüz ölçümü kadar yapılır.</w:t>
      </w:r>
      <w:proofErr w:type="gramEnd"/>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 xml:space="preserve">Bu madde kapsamında tahsis edilen yerler ile bu amaçla inşa edilen binalar devredilemez ve başka bir amaçla kullanılamaz. Bu yerlerin devredilmesi veya tahsis edilen amaca aykırı kullanılması halinde yapılan tahsis kaldırılır." hükümlerine yer verildiği, belirtilen mevzuat standartlarına uyulması halinde plan </w:t>
      </w:r>
      <w:r>
        <w:t>değişikliğine gerek olmayacağı,</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r w:rsidRPr="00771C93">
        <w:t>Sunulan plan değişiklik teklifleri ile mevcut onaylı planında “Park Alanı” kullanımında olan Atatürk Mahallesi 221250 adanın kuzeyinde bulunan park alanının 1000 m²​azaldığı, ancak parkın azalan kısmı için değişiklik tekli</w:t>
      </w:r>
      <w:r>
        <w:t>finde eşdeğer alan ayrılmadığı,</w:t>
      </w: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jc w:val="center"/>
      </w:pPr>
    </w:p>
    <w:p w:rsidR="00EE5BF4" w:rsidRDefault="00EE5BF4" w:rsidP="00EE5BF4">
      <w:pPr>
        <w:tabs>
          <w:tab w:val="left" w:pos="0"/>
        </w:tabs>
        <w:ind w:right="-1"/>
        <w:jc w:val="center"/>
      </w:pPr>
      <w:r>
        <w:t>-4-</w:t>
      </w:r>
    </w:p>
    <w:p w:rsidR="00EE5BF4" w:rsidRDefault="00EE5BF4" w:rsidP="00EE5BF4">
      <w:pPr>
        <w:tabs>
          <w:tab w:val="left" w:pos="0"/>
        </w:tabs>
        <w:ind w:right="-1"/>
        <w:jc w:val="center"/>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
    <w:p w:rsidR="00EE5BF4" w:rsidRDefault="00EE5BF4" w:rsidP="00EE5BF4">
      <w:pPr>
        <w:tabs>
          <w:tab w:val="left" w:pos="0"/>
        </w:tabs>
        <w:ind w:right="-1" w:firstLine="709"/>
        <w:jc w:val="both"/>
      </w:pPr>
      <w:proofErr w:type="gramStart"/>
      <w:r w:rsidRPr="00771C93">
        <w:t xml:space="preserve">Bu nedenle plan değişikliği tekliflerinin, Mekânsal Planlar Yapım Yönetmeliğinin İmar Planı Değişiklikleri başlıklı 26. Maddesinde belirtilen hükümlere uygun düzenlenmediği değerlendirilmekle birlikte, bahse konu tavsiye nitelikli 1/5000 ölçekli nazım imar planı değişikliği ve 1/1000 ölçekli uygulama imar planı değişikliği tekliflerinin yazımızda belirtilen hususlar ve ilgili mevzuat hükümleri çerçevesinde Belediye Meclisince karar verilmesi gerektiği </w:t>
      </w:r>
      <w:r>
        <w:t>görüş ve sonucuna varıldığı,</w:t>
      </w:r>
      <w:proofErr w:type="gramEnd"/>
    </w:p>
    <w:p w:rsidR="00EE5BF4" w:rsidRDefault="00EE5BF4" w:rsidP="00EE5BF4">
      <w:pPr>
        <w:tabs>
          <w:tab w:val="left" w:pos="0"/>
        </w:tabs>
        <w:ind w:right="-1" w:firstLine="709"/>
        <w:jc w:val="both"/>
      </w:pPr>
    </w:p>
    <w:p w:rsidR="001756AB" w:rsidRDefault="00EE5BF4" w:rsidP="00EE5BF4">
      <w:pPr>
        <w:tabs>
          <w:tab w:val="left" w:pos="9638"/>
        </w:tabs>
        <w:ind w:right="-1" w:firstLine="709"/>
        <w:jc w:val="both"/>
      </w:pPr>
      <w:proofErr w:type="gramStart"/>
      <w:r>
        <w:t xml:space="preserve">Hususları tespit edilmiş olup, </w:t>
      </w:r>
      <w:proofErr w:type="spellStart"/>
      <w:r w:rsidRPr="00771C93">
        <w:t>Kahramakazan</w:t>
      </w:r>
      <w:proofErr w:type="spellEnd"/>
      <w:r w:rsidRPr="00771C93">
        <w:t xml:space="preserve"> İlçesi Atatürk Mahallesi 221250 adanın kuzeyinde bulunan park alanına ait tavsiye nitelikli 1/5000 ölçekli nazım imar planı değişikliği ve </w:t>
      </w:r>
      <w:r>
        <w:t>uygulama imar planı değişikliği</w:t>
      </w:r>
      <w:r w:rsidRPr="00771C93">
        <w:t> tekliflerinin</w:t>
      </w:r>
      <w:r>
        <w:t xml:space="preserve"> 3194 sayılı kanunun Ek 12. Maddesi uyarınca parklarda eşdeğer alan ayrılmaksızın ve imar planı değişikliği yapılmadan belli ölçülerde acil sağlık hizmetleri istasyonu, sağlıklı hayat merkezi ve aile sağlığı merkezi yapılması mümkün olduğundan </w:t>
      </w:r>
      <w:r w:rsidRPr="00FD53E9">
        <w:t>“</w:t>
      </w:r>
      <w:r>
        <w:t xml:space="preserve">ilçesine </w:t>
      </w:r>
      <w:proofErr w:type="spellStart"/>
      <w:r>
        <w:t>iadesi</w:t>
      </w:r>
      <w:r w:rsidRPr="00FD53E9">
        <w:t>”</w:t>
      </w:r>
      <w:r>
        <w:rPr>
          <w:iCs/>
        </w:rP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EE5BF4">
      <w:t>240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4E51"/>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5E36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F0DD-C6B9-436D-B79B-93FC7B0A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7907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2026-02-11T08:13:00Z</dcterms:created>
  <dcterms:modified xsi:type="dcterms:W3CDTF">2026-02-18T12:50:00Z</dcterms:modified>
</cp:coreProperties>
</file>