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887FBD" w:rsidRDefault="00887FBD" w:rsidP="002856BD">
      <w:pPr>
        <w:tabs>
          <w:tab w:val="left" w:pos="1935"/>
        </w:tabs>
        <w:jc w:val="both"/>
      </w:pPr>
    </w:p>
    <w:p w:rsidR="005D5B4D" w:rsidRDefault="005D5B4D" w:rsidP="002856BD">
      <w:pPr>
        <w:tabs>
          <w:tab w:val="left" w:pos="1935"/>
        </w:tabs>
        <w:jc w:val="both"/>
      </w:pPr>
    </w:p>
    <w:p w:rsidR="005D5B4D" w:rsidRDefault="005D5B4D" w:rsidP="002856BD">
      <w:pPr>
        <w:tabs>
          <w:tab w:val="left" w:pos="1935"/>
        </w:tabs>
        <w:jc w:val="both"/>
      </w:pPr>
    </w:p>
    <w:p w:rsidR="009514D8" w:rsidRDefault="002856BD" w:rsidP="003155C1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5D5B4D">
        <w:t>15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5D5B4D" w:rsidRDefault="005D5B4D" w:rsidP="003155C1">
      <w:pPr>
        <w:ind w:right="-1"/>
        <w:jc w:val="both"/>
      </w:pPr>
    </w:p>
    <w:p w:rsidR="0042683A" w:rsidRDefault="0042683A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5D5B4D" w:rsidRDefault="005D5B4D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5D5B4D" w:rsidP="00050B1F">
      <w:pPr>
        <w:ind w:firstLine="708"/>
        <w:jc w:val="both"/>
      </w:pPr>
      <w:r w:rsidRPr="008B7741">
        <w:t xml:space="preserve">Gölbaşı İlçesi </w:t>
      </w:r>
      <w:proofErr w:type="spellStart"/>
      <w:r w:rsidRPr="008B7741">
        <w:t>Karagedik</w:t>
      </w:r>
      <w:proofErr w:type="spellEnd"/>
      <w:r w:rsidRPr="008B7741">
        <w:t xml:space="preserve"> Mahallesi Ankara Treni ile Otoyolu </w:t>
      </w:r>
      <w:proofErr w:type="gramStart"/>
      <w:r w:rsidRPr="008B7741">
        <w:t>güzergahı</w:t>
      </w:r>
      <w:proofErr w:type="gramEnd"/>
      <w:r w:rsidRPr="008B7741">
        <w:t xml:space="preserve"> kapsamında kalan </w:t>
      </w:r>
      <w:proofErr w:type="spellStart"/>
      <w:r w:rsidRPr="008B7741">
        <w:t>Karagedik</w:t>
      </w:r>
      <w:proofErr w:type="spellEnd"/>
      <w:r w:rsidRPr="008B7741">
        <w:t xml:space="preserve"> kavşağı 1/1000 ölçekli uygulama imar plan değişikliğine</w:t>
      </w:r>
      <w:r w:rsidR="001534DA" w:rsidRPr="002B345B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6C087A">
        <w:t>1</w:t>
      </w:r>
      <w:r w:rsidR="00050B1F">
        <w:t>4.09</w:t>
      </w:r>
      <w:r w:rsidR="00AF4ABA" w:rsidRPr="002B345B">
        <w:t xml:space="preserve">.2020 gün ve </w:t>
      </w:r>
      <w:r>
        <w:t>214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050B1F">
        <w:t>08</w:t>
      </w:r>
      <w:r w:rsidR="00605CC8" w:rsidRPr="002B345B">
        <w:t>.</w:t>
      </w:r>
      <w:r w:rsidR="00050B1F">
        <w:t>10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5D5B4D" w:rsidRDefault="00BC7978" w:rsidP="005D5B4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5D5B4D" w:rsidRPr="008B7741">
        <w:t>Gölbaşı Belediye Başkanlığı Yazı İşleri Mü</w:t>
      </w:r>
      <w:r w:rsidR="005D5B4D">
        <w:t>dürlüğünün 08.06.2020 gün ve E.</w:t>
      </w:r>
      <w:r w:rsidR="005D5B4D" w:rsidRPr="008B7741">
        <w:t xml:space="preserve">10726 sayılı yazısı ekleri; Gölbaşı </w:t>
      </w:r>
      <w:r w:rsidR="005D5B4D">
        <w:t>İ</w:t>
      </w:r>
      <w:r w:rsidR="005D5B4D" w:rsidRPr="008B7741">
        <w:t xml:space="preserve">lçesi, </w:t>
      </w:r>
      <w:proofErr w:type="spellStart"/>
      <w:r w:rsidR="005D5B4D" w:rsidRPr="008B7741">
        <w:t>Karagedik</w:t>
      </w:r>
      <w:proofErr w:type="spellEnd"/>
      <w:r w:rsidR="005D5B4D" w:rsidRPr="008B7741">
        <w:t xml:space="preserve"> Mahallesi </w:t>
      </w:r>
      <w:proofErr w:type="spellStart"/>
      <w:r w:rsidR="005D5B4D" w:rsidRPr="008B7741">
        <w:t>Karagedik</w:t>
      </w:r>
      <w:proofErr w:type="spellEnd"/>
      <w:r w:rsidR="005D5B4D" w:rsidRPr="008B7741">
        <w:t xml:space="preserve"> Kavşağı 1/1000 ölçekli Uygulama </w:t>
      </w:r>
      <w:r w:rsidR="005D5B4D">
        <w:t>İ</w:t>
      </w:r>
      <w:r w:rsidR="005D5B4D" w:rsidRPr="008B7741">
        <w:t xml:space="preserve">mar Planı Değişikliğine ilişkin Gölbaşı Belediye Meclisinin 03.03.2020 gün ve 106 sayılı kararı, 5216 Sayılı Yasanın ilgili maddesi gereğince bir karar alınmak üzere </w:t>
      </w:r>
      <w:r w:rsidR="005D5B4D">
        <w:t>İmar ve Şehircilik Dairesi Başkanlığına sunulduğu,</w:t>
      </w:r>
    </w:p>
    <w:p w:rsidR="005D5B4D" w:rsidRDefault="005D5B4D" w:rsidP="005D5B4D">
      <w:pPr>
        <w:pStyle w:val="ListeParagraf"/>
        <w:tabs>
          <w:tab w:val="left" w:pos="0"/>
        </w:tabs>
        <w:ind w:left="0"/>
        <w:contextualSpacing/>
        <w:jc w:val="both"/>
      </w:pPr>
    </w:p>
    <w:p w:rsidR="005D5B4D" w:rsidRDefault="005D5B4D" w:rsidP="005D5B4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Yapılan incelemede;</w:t>
      </w:r>
    </w:p>
    <w:p w:rsidR="005D5B4D" w:rsidRDefault="005D5B4D" w:rsidP="005D5B4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-Yaklaşık 60 ha yüzölçümlü planlama alanının, Gölbaşı İlçesi </w:t>
      </w:r>
      <w:proofErr w:type="spellStart"/>
      <w:r w:rsidRPr="008B7741">
        <w:t>Karagedik</w:t>
      </w:r>
      <w:proofErr w:type="spellEnd"/>
      <w:r w:rsidRPr="008B7741">
        <w:t xml:space="preserve">-Aydın Mahallesi sınırları içerisindeki 117861 </w:t>
      </w:r>
      <w:proofErr w:type="spellStart"/>
      <w:r w:rsidRPr="008B7741">
        <w:t>nolu</w:t>
      </w:r>
      <w:proofErr w:type="spellEnd"/>
      <w:r w:rsidRPr="008B7741">
        <w:t xml:space="preserve"> imar adası ve çevresini kapsadığı, Karayolları Genel Müdürlüğünün yürüttüğü Ankara-Niğde Otoyol Projesinin </w:t>
      </w:r>
      <w:proofErr w:type="gramStart"/>
      <w:r w:rsidRPr="008B7741">
        <w:t>güzergahı</w:t>
      </w:r>
      <w:proofErr w:type="gramEnd"/>
      <w:r w:rsidRPr="008B7741">
        <w:t xml:space="preserve"> üzerinde yer aldığı,</w:t>
      </w:r>
    </w:p>
    <w:p w:rsidR="005D5B4D" w:rsidRPr="008B7741" w:rsidRDefault="005D5B4D" w:rsidP="005D5B4D">
      <w:pPr>
        <w:pStyle w:val="ListeParagraf"/>
        <w:tabs>
          <w:tab w:val="left" w:pos="0"/>
        </w:tabs>
        <w:ind w:left="0"/>
        <w:contextualSpacing/>
        <w:jc w:val="both"/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proofErr w:type="gramStart"/>
      <w:r w:rsidRPr="008B7741">
        <w:rPr>
          <w:sz w:val="24"/>
          <w:szCs w:val="24"/>
        </w:rPr>
        <w:t>-Karayolları Genel Müdürlüğü Taşınmazlar Dairesi Başkanlığının 05.04.2019 tarih ve E.101822 sayılı, 09.08.2019 tarih ve E.221666 sayılı yazıla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Başkanlığımıza iletilen 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 xml:space="preserve"> Mahallesi 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 xml:space="preserve"> Kavşağı 1/5000 ölçekli nazım imar planı değişikliği teklifinin Belediyemiz Meclisinin 13.11.2019 tarih ve 1488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onaylandığı,</w:t>
      </w:r>
      <w:proofErr w:type="gramEnd"/>
    </w:p>
    <w:p w:rsidR="005D5B4D" w:rsidRPr="008B7741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>-2019/1488 sayılı kararla onaylı nazım imar planında; "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>-Aydın Mahallesi mevcut nazım imar planı plan notla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aynen geçerlidir." şeklinde 1 adet plan notu bulunduğu,</w:t>
      </w: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>İlçe Belediye Meclisinin 2020/106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uygun görülen plan değişikliği teklifi </w:t>
      </w:r>
      <w:proofErr w:type="gramStart"/>
      <w:r w:rsidRPr="008B7741">
        <w:rPr>
          <w:sz w:val="24"/>
          <w:szCs w:val="24"/>
        </w:rPr>
        <w:t>ile;</w:t>
      </w:r>
      <w:proofErr w:type="gramEnd"/>
      <w:r w:rsidRPr="008B7741">
        <w:rPr>
          <w:sz w:val="24"/>
          <w:szCs w:val="24"/>
        </w:rPr>
        <w:t xml:space="preserve"> </w:t>
      </w:r>
    </w:p>
    <w:p w:rsidR="005D5B4D" w:rsidRPr="008B7741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>-Onaylı nazım imar planı değişikliğinde gösterilen kamulaştırma alanının, öneri plan değişikliğinde Karayolları Yol Kena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Koruma Alanı olarak gösterildiği, diğer kullanımların aynı olduğu,</w:t>
      </w: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>-"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>-Aydın Mahallesi mevcut uygulama imar planı plan notla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aynen geçerlidir." şeklinde 1 adet plan notu önerildiği,</w:t>
      </w:r>
    </w:p>
    <w:p w:rsidR="005D5B4D" w:rsidRPr="008B7741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 xml:space="preserve">-Üniversite alanının Emsal=0,50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=Serbest olarak onaylı uygulama imar planındaki yapılaşma koşulunun korunduğu,</w:t>
      </w:r>
    </w:p>
    <w:p w:rsidR="005D5B4D" w:rsidRPr="008B7741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>-Onaylı Nazım İmar Planı değişikliği ile öneri uygulama imar planı değişikliği alan dağılımlarının aşağıdaki tabloda gösterildiği,</w:t>
      </w: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D5B4D" w:rsidTr="00B60E76">
        <w:trPr>
          <w:trHeight w:val="1008"/>
        </w:trPr>
        <w:tc>
          <w:tcPr>
            <w:tcW w:w="3510" w:type="dxa"/>
          </w:tcPr>
          <w:p w:rsidR="005D5B4D" w:rsidRDefault="005D5B4D" w:rsidP="00B60E76">
            <w:pPr>
              <w:ind w:left="708" w:firstLine="708"/>
            </w:pPr>
            <w:r>
              <w:lastRenderedPageBreak/>
              <w:t>T.C.</w:t>
            </w:r>
          </w:p>
          <w:p w:rsidR="005D5B4D" w:rsidRDefault="005D5B4D" w:rsidP="00B60E76">
            <w:pPr>
              <w:jc w:val="center"/>
            </w:pPr>
            <w:r>
              <w:t>ANKARA BÜYÜKŞEHİR</w:t>
            </w:r>
          </w:p>
          <w:p w:rsidR="005D5B4D" w:rsidRDefault="005D5B4D" w:rsidP="00B60E76">
            <w:pPr>
              <w:jc w:val="center"/>
            </w:pPr>
            <w:r>
              <w:t>BELEDİYE MECLİSİ</w:t>
            </w:r>
          </w:p>
        </w:tc>
      </w:tr>
    </w:tbl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ind w:right="-1"/>
        <w:jc w:val="both"/>
      </w:pPr>
      <w:r>
        <w:t>Karar No:1215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5D5B4D" w:rsidRDefault="005D5B4D" w:rsidP="005D5B4D">
      <w:pPr>
        <w:ind w:right="-1"/>
        <w:jc w:val="both"/>
      </w:pPr>
    </w:p>
    <w:p w:rsidR="005D5B4D" w:rsidRDefault="005D5B4D" w:rsidP="005D5B4D">
      <w:pPr>
        <w:ind w:right="-1"/>
        <w:jc w:val="both"/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hanging="2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127"/>
        <w:gridCol w:w="1984"/>
      </w:tblGrid>
      <w:tr w:rsidR="005D5B4D" w:rsidTr="00B60E76">
        <w:tc>
          <w:tcPr>
            <w:tcW w:w="2835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Kullanım</w:t>
            </w:r>
          </w:p>
        </w:tc>
        <w:tc>
          <w:tcPr>
            <w:tcW w:w="2127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Onaylı NİP değ.</w:t>
            </w:r>
          </w:p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(m</w:t>
            </w:r>
            <w:r w:rsidRPr="00AF4033">
              <w:rPr>
                <w:sz w:val="24"/>
                <w:szCs w:val="24"/>
                <w:vertAlign w:val="superscript"/>
              </w:rPr>
              <w:t>2</w:t>
            </w:r>
            <w:r w:rsidRPr="00AF403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Öneri UİP değ.</w:t>
            </w:r>
          </w:p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(m</w:t>
            </w:r>
            <w:r w:rsidRPr="00AF4033">
              <w:rPr>
                <w:sz w:val="24"/>
                <w:szCs w:val="24"/>
                <w:vertAlign w:val="superscript"/>
              </w:rPr>
              <w:t>2</w:t>
            </w:r>
            <w:r w:rsidRPr="00AF4033">
              <w:rPr>
                <w:sz w:val="24"/>
                <w:szCs w:val="24"/>
              </w:rPr>
              <w:t>)</w:t>
            </w:r>
          </w:p>
        </w:tc>
      </w:tr>
      <w:tr w:rsidR="005D5B4D" w:rsidTr="00B60E76">
        <w:tc>
          <w:tcPr>
            <w:tcW w:w="2835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Üniversite Alanı</w:t>
            </w:r>
          </w:p>
        </w:tc>
        <w:tc>
          <w:tcPr>
            <w:tcW w:w="2127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433995</w:t>
            </w:r>
          </w:p>
        </w:tc>
        <w:tc>
          <w:tcPr>
            <w:tcW w:w="1984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433995</w:t>
            </w:r>
          </w:p>
        </w:tc>
      </w:tr>
      <w:tr w:rsidR="005D5B4D" w:rsidTr="00B60E76">
        <w:tc>
          <w:tcPr>
            <w:tcW w:w="2835" w:type="dxa"/>
          </w:tcPr>
          <w:p w:rsidR="005D5B4D" w:rsidRPr="00AF4033" w:rsidRDefault="005D5B4D" w:rsidP="00B60E76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Park Alanı</w:t>
            </w:r>
          </w:p>
        </w:tc>
        <w:tc>
          <w:tcPr>
            <w:tcW w:w="2127" w:type="dxa"/>
          </w:tcPr>
          <w:p w:rsidR="005D5B4D" w:rsidRPr="00AF4033" w:rsidRDefault="005D5B4D" w:rsidP="00B60E76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16539</w:t>
            </w:r>
          </w:p>
        </w:tc>
        <w:tc>
          <w:tcPr>
            <w:tcW w:w="1984" w:type="dxa"/>
          </w:tcPr>
          <w:p w:rsidR="005D5B4D" w:rsidRPr="00AF4033" w:rsidRDefault="005D5B4D" w:rsidP="00B60E76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16539</w:t>
            </w:r>
          </w:p>
        </w:tc>
      </w:tr>
      <w:tr w:rsidR="005D5B4D" w:rsidTr="00B60E76">
        <w:tc>
          <w:tcPr>
            <w:tcW w:w="2835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Pasif Yeşil Alan</w:t>
            </w:r>
          </w:p>
        </w:tc>
        <w:tc>
          <w:tcPr>
            <w:tcW w:w="2127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69548</w:t>
            </w:r>
          </w:p>
        </w:tc>
        <w:tc>
          <w:tcPr>
            <w:tcW w:w="1984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tabs>
                <w:tab w:val="left" w:leader="dot" w:pos="1837"/>
              </w:tabs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5352</w:t>
            </w:r>
          </w:p>
        </w:tc>
      </w:tr>
      <w:tr w:rsidR="005D5B4D" w:rsidTr="00B60E76">
        <w:tc>
          <w:tcPr>
            <w:tcW w:w="2835" w:type="dxa"/>
          </w:tcPr>
          <w:p w:rsidR="005D5B4D" w:rsidRPr="00AF4033" w:rsidRDefault="005D5B4D" w:rsidP="00B60E76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Yol</w:t>
            </w:r>
          </w:p>
        </w:tc>
        <w:tc>
          <w:tcPr>
            <w:tcW w:w="2127" w:type="dxa"/>
          </w:tcPr>
          <w:p w:rsidR="005D5B4D" w:rsidRPr="00AF4033" w:rsidRDefault="005D5B4D" w:rsidP="00B60E76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79276</w:t>
            </w:r>
          </w:p>
        </w:tc>
        <w:tc>
          <w:tcPr>
            <w:tcW w:w="1984" w:type="dxa"/>
          </w:tcPr>
          <w:p w:rsidR="005D5B4D" w:rsidRPr="00AF4033" w:rsidRDefault="005D5B4D" w:rsidP="00B60E76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44233</w:t>
            </w:r>
          </w:p>
        </w:tc>
      </w:tr>
      <w:tr w:rsidR="005D5B4D" w:rsidTr="00B60E76">
        <w:tc>
          <w:tcPr>
            <w:tcW w:w="2835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Karayolları Yol Kenarı</w:t>
            </w:r>
          </w:p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Koruma Alanı</w:t>
            </w:r>
          </w:p>
        </w:tc>
        <w:tc>
          <w:tcPr>
            <w:tcW w:w="2127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</w:p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</w:p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99239</w:t>
            </w:r>
          </w:p>
        </w:tc>
      </w:tr>
      <w:tr w:rsidR="005D5B4D" w:rsidTr="00B60E76">
        <w:tc>
          <w:tcPr>
            <w:tcW w:w="2835" w:type="dxa"/>
          </w:tcPr>
          <w:p w:rsidR="005D5B4D" w:rsidRPr="00AF4033" w:rsidRDefault="005D5B4D" w:rsidP="00B60E76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Toplam Alan</w:t>
            </w:r>
          </w:p>
        </w:tc>
        <w:tc>
          <w:tcPr>
            <w:tcW w:w="2127" w:type="dxa"/>
          </w:tcPr>
          <w:p w:rsidR="005D5B4D" w:rsidRPr="00AF4033" w:rsidRDefault="005D5B4D" w:rsidP="00B60E76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599358</w:t>
            </w:r>
          </w:p>
        </w:tc>
        <w:tc>
          <w:tcPr>
            <w:tcW w:w="1984" w:type="dxa"/>
          </w:tcPr>
          <w:p w:rsidR="005D5B4D" w:rsidRPr="00AF4033" w:rsidRDefault="005D5B4D" w:rsidP="00B60E76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599358</w:t>
            </w:r>
          </w:p>
        </w:tc>
      </w:tr>
    </w:tbl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>- Yuka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>daki tabloda pasif yeşil alan ve yol alanı olarak gösterilen alanlardan; 64085 m2 pasif yeşil alan ve 35154 m2 yol alanının (toplam 99239 m2) onaylı nazım imar planı değişikliğinde Kamulaştırma Alanı olarak gösterildiği, öneri uygulama imar planında aynı alanın Karayolla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Yol Kena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Ko</w:t>
      </w:r>
      <w:r>
        <w:rPr>
          <w:sz w:val="24"/>
          <w:szCs w:val="24"/>
        </w:rPr>
        <w:t>ruma Alanı olarak gösterildiği,</w:t>
      </w: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5D5B4D" w:rsidRPr="00D40F40" w:rsidRDefault="005D5B4D" w:rsidP="005D5B4D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10pt"/>
          <w:sz w:val="24"/>
          <w:szCs w:val="24"/>
        </w:rPr>
      </w:pPr>
      <w:r w:rsidRPr="00D40F40">
        <w:rPr>
          <w:rStyle w:val="Gvdemetni10pt"/>
          <w:sz w:val="24"/>
          <w:szCs w:val="24"/>
        </w:rPr>
        <w:t>Başkanlığımızca yapılan değerlendirmede;</w:t>
      </w: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>-Bahse konu plan değişikliği teklifinin onaylı nazım imar planına uygun olduğu,</w:t>
      </w: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-Üniversite Alanında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=Serbest ibaresinin; 3194 </w:t>
      </w:r>
      <w:r>
        <w:rPr>
          <w:sz w:val="24"/>
          <w:szCs w:val="24"/>
        </w:rPr>
        <w:t>s</w:t>
      </w:r>
      <w:r w:rsidRPr="008B7741">
        <w:rPr>
          <w:sz w:val="24"/>
          <w:szCs w:val="24"/>
        </w:rPr>
        <w:t xml:space="preserve">ayılı İmar Kanunu'nun 8. maddesinde (14.02.2020/7221/6. madde ile değişik) "İmar planlarında bina yükseklikleri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 Serbest olarak belirlenemez." hükmü gereğince çevredeki yapılaşmalar dikkate alınarak yapı yüksekliğinin belirlenmesi gerektiği</w:t>
      </w:r>
      <w:r>
        <w:rPr>
          <w:sz w:val="24"/>
          <w:szCs w:val="24"/>
        </w:rPr>
        <w:t xml:space="preserve"> g</w:t>
      </w:r>
      <w:r w:rsidRPr="008B7741">
        <w:rPr>
          <w:sz w:val="24"/>
          <w:szCs w:val="24"/>
        </w:rPr>
        <w:t>örüş ve kanaatine varıl</w:t>
      </w:r>
      <w:r>
        <w:rPr>
          <w:sz w:val="24"/>
          <w:szCs w:val="24"/>
        </w:rPr>
        <w:t>dığı,</w:t>
      </w:r>
    </w:p>
    <w:p w:rsidR="005D5B4D" w:rsidRDefault="005D5B4D" w:rsidP="005D5B4D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C7978" w:rsidRDefault="005D5B4D" w:rsidP="005D5B4D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tab/>
        <w:t>Hususları tespit edilmiş olup,</w:t>
      </w:r>
      <w:r w:rsidRPr="008B7741">
        <w:t xml:space="preserve"> Gölbaşı Belediye Meclisinin 2020/106 sayılı kararı ile uygun görülen Gölbaşı </w:t>
      </w:r>
      <w:proofErr w:type="spellStart"/>
      <w:r w:rsidRPr="008B7741">
        <w:t>Karagedik</w:t>
      </w:r>
      <w:proofErr w:type="spellEnd"/>
      <w:r w:rsidRPr="008B7741">
        <w:t xml:space="preserve"> Mahallesi Ankara-Niğde Otoyolu güzergahı kapsamında kalan </w:t>
      </w:r>
      <w:proofErr w:type="spellStart"/>
      <w:r w:rsidRPr="008B7741">
        <w:t>Karagedik</w:t>
      </w:r>
      <w:proofErr w:type="spellEnd"/>
      <w:r w:rsidRPr="008B7741">
        <w:t xml:space="preserve"> Kavşağı 1/1000 ölçekli uygulama imar planı değişikliği teklifinin</w:t>
      </w:r>
      <w:r>
        <w:t xml:space="preserve"> Üniversite alanında kat yüksekliğinin “5 kat” olarak belirlemek, onaylı ve 1/5000 ölçekli nazım imar planındaki “serbest” ifadesi iptal edilmek suretiyle  “</w:t>
      </w:r>
      <w:proofErr w:type="spellStart"/>
      <w:r>
        <w:t>tadilen</w:t>
      </w:r>
      <w:proofErr w:type="spellEnd"/>
      <w:r>
        <w:t xml:space="preserve"> onayı” </w:t>
      </w:r>
      <w:proofErr w:type="spellStart"/>
      <w:r w:rsidR="0042683A">
        <w:t>na</w:t>
      </w:r>
      <w:proofErr w:type="spellEnd"/>
      <w:r w:rsidR="0002215B">
        <w:t xml:space="preserve"> 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</w:t>
      </w:r>
      <w:r w:rsidR="001534DA">
        <w:rPr>
          <w:spacing w:val="2"/>
        </w:rPr>
        <w:t>o</w:t>
      </w:r>
      <w:r w:rsidR="001534DA" w:rsidRPr="002B345B">
        <w:rPr>
          <w:spacing w:val="2"/>
        </w:rPr>
        <w:t>y</w:t>
      </w:r>
      <w:r w:rsidR="0002215B">
        <w:rPr>
          <w:spacing w:val="2"/>
        </w:rPr>
        <w:t>birliği</w:t>
      </w:r>
      <w:r w:rsidR="001534DA" w:rsidRPr="002B345B">
        <w:rPr>
          <w:spacing w:val="2"/>
        </w:rPr>
        <w:t xml:space="preserve"> </w:t>
      </w:r>
      <w:r w:rsidR="008E2101" w:rsidRPr="002B345B">
        <w:rPr>
          <w:spacing w:val="2"/>
        </w:rPr>
        <w:t>ile kabul edildi.</w:t>
      </w:r>
    </w:p>
    <w:p w:rsidR="0002215B" w:rsidRDefault="0002215B" w:rsidP="00BC7978">
      <w:pPr>
        <w:ind w:left="20" w:right="20" w:firstLine="688"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212E5">
      <w:pPr>
        <w:autoSpaceDE w:val="0"/>
        <w:autoSpaceDN w:val="0"/>
        <w:adjustRightInd w:val="0"/>
      </w:pPr>
    </w:p>
    <w:p w:rsidR="008212E5" w:rsidRDefault="008212E5" w:rsidP="008212E5"/>
    <w:p w:rsidR="008212E5" w:rsidRPr="008212E5" w:rsidRDefault="008212E5" w:rsidP="008212E5">
      <w:pPr>
        <w:jc w:val="center"/>
      </w:pPr>
      <w:r w:rsidRPr="008212E5">
        <w:lastRenderedPageBreak/>
        <w:t>T.C.</w:t>
      </w:r>
    </w:p>
    <w:p w:rsidR="008212E5" w:rsidRPr="008212E5" w:rsidRDefault="008212E5" w:rsidP="008212E5">
      <w:pPr>
        <w:jc w:val="center"/>
      </w:pPr>
      <w:r w:rsidRPr="008212E5">
        <w:t>ANKARA BÜYÜKŞEHİR BELEDİYE MECLİSİ</w:t>
      </w:r>
    </w:p>
    <w:p w:rsidR="008212E5" w:rsidRPr="008212E5" w:rsidRDefault="008212E5" w:rsidP="008212E5">
      <w:pPr>
        <w:jc w:val="center"/>
      </w:pPr>
      <w:r w:rsidRPr="008212E5">
        <w:t>İmar ve Bayındırlık Komisyonu Raporu</w:t>
      </w:r>
    </w:p>
    <w:p w:rsidR="008212E5" w:rsidRPr="008212E5" w:rsidRDefault="008212E5" w:rsidP="008212E5">
      <w:pPr>
        <w:jc w:val="center"/>
      </w:pPr>
    </w:p>
    <w:p w:rsidR="008212E5" w:rsidRPr="008212E5" w:rsidRDefault="008212E5" w:rsidP="008212E5">
      <w:pPr>
        <w:jc w:val="center"/>
      </w:pPr>
      <w:r w:rsidRPr="008212E5">
        <w:t xml:space="preserve">Rapor No: 214 </w:t>
      </w:r>
      <w:r w:rsidRPr="008212E5">
        <w:tab/>
        <w:t xml:space="preserve">     </w:t>
      </w:r>
      <w:r w:rsidRPr="008212E5">
        <w:tab/>
        <w:t xml:space="preserve">     </w:t>
      </w:r>
      <w:r w:rsidRPr="008212E5">
        <w:tab/>
        <w:t xml:space="preserve">                         </w:t>
      </w:r>
      <w:r w:rsidRPr="008212E5">
        <w:tab/>
        <w:t xml:space="preserve">         </w:t>
      </w:r>
      <w:r w:rsidRPr="008212E5">
        <w:tab/>
      </w:r>
      <w:r w:rsidRPr="008212E5">
        <w:tab/>
      </w:r>
      <w:r w:rsidRPr="008212E5">
        <w:tab/>
        <w:t xml:space="preserve">        14.09.2020</w:t>
      </w:r>
    </w:p>
    <w:p w:rsidR="008212E5" w:rsidRPr="003B0AF0" w:rsidRDefault="008212E5" w:rsidP="008212E5">
      <w:pPr>
        <w:pStyle w:val="Balk7"/>
        <w:jc w:val="center"/>
        <w:rPr>
          <w:b/>
        </w:rPr>
      </w:pPr>
      <w:r w:rsidRPr="008212E5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8212E5" w:rsidRDefault="008212E5" w:rsidP="008212E5"/>
    <w:p w:rsidR="008212E5" w:rsidRDefault="008212E5" w:rsidP="008212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 Gölbaşı İlçesi </w:t>
      </w:r>
      <w:proofErr w:type="spellStart"/>
      <w:r w:rsidRPr="008B7741">
        <w:t>Karagedik</w:t>
      </w:r>
      <w:proofErr w:type="spellEnd"/>
      <w:r w:rsidRPr="008B7741">
        <w:t xml:space="preserve"> Mahallesi Ankara Treni ile Otoyolu </w:t>
      </w:r>
      <w:proofErr w:type="gramStart"/>
      <w:r w:rsidRPr="008B7741">
        <w:t>güzergahı</w:t>
      </w:r>
      <w:proofErr w:type="gramEnd"/>
      <w:r w:rsidRPr="008B7741">
        <w:t xml:space="preserve"> kapsamında kalan </w:t>
      </w:r>
      <w:proofErr w:type="spellStart"/>
      <w:r w:rsidRPr="008B7741">
        <w:t>Karagedik</w:t>
      </w:r>
      <w:proofErr w:type="spellEnd"/>
      <w:r w:rsidRPr="008B7741">
        <w:t xml:space="preserve"> kavşağı 1/1000 ölçekli uygulama imar plan değişikliğine ilişkin Büyükşehir Belediye Meclisinin 08.09.2020 tarih ve </w:t>
      </w:r>
      <w:r>
        <w:t>14</w:t>
      </w:r>
      <w:r w:rsidRPr="008B7741">
        <w:t>.gündem maddesi olarak komisyonumuza havale edilen dosya incelendi.</w:t>
      </w:r>
    </w:p>
    <w:p w:rsidR="008212E5" w:rsidRDefault="008212E5" w:rsidP="008212E5">
      <w:pPr>
        <w:pStyle w:val="ListeParagraf"/>
        <w:tabs>
          <w:tab w:val="left" w:pos="0"/>
        </w:tabs>
        <w:ind w:left="0"/>
        <w:contextualSpacing/>
        <w:jc w:val="both"/>
      </w:pPr>
    </w:p>
    <w:p w:rsidR="008212E5" w:rsidRDefault="008212E5" w:rsidP="008212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8B7741">
        <w:t>Komisyonumuzca yapılan incelemeler neticesinde; Gölbaşı Belediye Başkanlığı Yazı İşleri Mü</w:t>
      </w:r>
      <w:r>
        <w:t>dürlüğünün 08.06.2020 gün ve E.</w:t>
      </w:r>
      <w:r w:rsidRPr="008B7741">
        <w:t xml:space="preserve">10726 sayılı yazısı ekleri; Gölbaşı </w:t>
      </w:r>
      <w:r>
        <w:t>İ</w:t>
      </w:r>
      <w:r w:rsidRPr="008B7741">
        <w:t xml:space="preserve">lçesi, </w:t>
      </w:r>
      <w:proofErr w:type="spellStart"/>
      <w:r w:rsidRPr="008B7741">
        <w:t>Karagedik</w:t>
      </w:r>
      <w:proofErr w:type="spellEnd"/>
      <w:r w:rsidRPr="008B7741">
        <w:t xml:space="preserve"> Mahallesi </w:t>
      </w:r>
      <w:proofErr w:type="spellStart"/>
      <w:r w:rsidRPr="008B7741">
        <w:t>Karagedik</w:t>
      </w:r>
      <w:proofErr w:type="spellEnd"/>
      <w:r w:rsidRPr="008B7741">
        <w:t xml:space="preserve"> Kavşağı 1/1000 ölçekli Uygulama </w:t>
      </w:r>
      <w:r>
        <w:t>İ</w:t>
      </w:r>
      <w:r w:rsidRPr="008B7741">
        <w:t xml:space="preserve">mar Planı Değişikliğine ilişkin Gölbaşı Belediye Meclisinin 03.03.2020 gün ve 106 sayılı kararı, 5216 Sayılı Yasanın ilgili maddesi gereğince bir karar alınmak üzere </w:t>
      </w:r>
      <w:r>
        <w:t>İmar ve Şehircilik Dairesi Başkanlığına sunulduğu,</w:t>
      </w:r>
      <w:proofErr w:type="gramEnd"/>
    </w:p>
    <w:p w:rsidR="008212E5" w:rsidRDefault="008212E5" w:rsidP="008212E5">
      <w:pPr>
        <w:pStyle w:val="ListeParagraf"/>
        <w:tabs>
          <w:tab w:val="left" w:pos="0"/>
        </w:tabs>
        <w:ind w:left="0"/>
        <w:contextualSpacing/>
        <w:jc w:val="both"/>
      </w:pPr>
    </w:p>
    <w:p w:rsidR="008212E5" w:rsidRDefault="008212E5" w:rsidP="008212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Yapılan incelemede;</w:t>
      </w:r>
    </w:p>
    <w:p w:rsidR="008212E5" w:rsidRDefault="008212E5" w:rsidP="008212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-Yaklaşık 60 ha yüzölçümlü planlama alanının, Gölbaşı İlçesi </w:t>
      </w:r>
      <w:proofErr w:type="spellStart"/>
      <w:r w:rsidRPr="008B7741">
        <w:t>Karagedik</w:t>
      </w:r>
      <w:proofErr w:type="spellEnd"/>
      <w:r w:rsidRPr="008B7741">
        <w:t xml:space="preserve">-Aydın Mahallesi sınırları içerisindeki 117861 </w:t>
      </w:r>
      <w:proofErr w:type="spellStart"/>
      <w:r w:rsidRPr="008B7741">
        <w:t>nolu</w:t>
      </w:r>
      <w:proofErr w:type="spellEnd"/>
      <w:r w:rsidRPr="008B7741">
        <w:t xml:space="preserve"> imar adası ve çevresini kapsadığı, Karayolları Genel Müdürlüğünün yürüttüğü Ankara-Niğde Otoyol Projesinin </w:t>
      </w:r>
      <w:proofErr w:type="gramStart"/>
      <w:r w:rsidRPr="008B7741">
        <w:t>güzergahı</w:t>
      </w:r>
      <w:proofErr w:type="gramEnd"/>
      <w:r w:rsidRPr="008B7741">
        <w:t xml:space="preserve"> üzerinde yer aldığı,</w:t>
      </w:r>
    </w:p>
    <w:p w:rsidR="008212E5" w:rsidRPr="008B7741" w:rsidRDefault="008212E5" w:rsidP="008212E5">
      <w:pPr>
        <w:pStyle w:val="ListeParagraf"/>
        <w:tabs>
          <w:tab w:val="left" w:pos="0"/>
        </w:tabs>
        <w:ind w:left="0"/>
        <w:contextualSpacing/>
        <w:jc w:val="both"/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proofErr w:type="gramStart"/>
      <w:r w:rsidRPr="008B7741">
        <w:rPr>
          <w:sz w:val="24"/>
          <w:szCs w:val="24"/>
        </w:rPr>
        <w:t>-Karayolları Genel Müdürlüğü Taşınmazlar Dairesi Başkanlığının 05.04.2019 tarih ve E.101822 sayılı, 09.08.2019 tarih ve E.221666 sayılı yazıla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Başkanlığımıza iletilen 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 xml:space="preserve"> Mahallesi 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 xml:space="preserve"> Kavşağı 1/5000 ölçekli nazım imar planı değişikliği teklifinin Belediyemiz Meclisinin 13.11.2019 tarih ve 1488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onaylandığı,</w:t>
      </w:r>
      <w:proofErr w:type="gramEnd"/>
    </w:p>
    <w:p w:rsidR="008212E5" w:rsidRPr="008B7741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>-2019/1488 sayılı kararla onaylı nazım imar planında; "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>-Aydın Mahallesi mevcut nazım imar planı plan notla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aynen geçerlidir." şeklinde 1 adet plan notu bulunduğu,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>İlçe Belediye Meclisinin 2020/106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uygun görülen plan değişikliği teklifi </w:t>
      </w:r>
      <w:proofErr w:type="gramStart"/>
      <w:r w:rsidRPr="008B7741">
        <w:rPr>
          <w:sz w:val="24"/>
          <w:szCs w:val="24"/>
        </w:rPr>
        <w:t>ile;</w:t>
      </w:r>
      <w:proofErr w:type="gramEnd"/>
      <w:r w:rsidRPr="008B7741">
        <w:rPr>
          <w:sz w:val="24"/>
          <w:szCs w:val="24"/>
        </w:rPr>
        <w:t xml:space="preserve"> </w:t>
      </w:r>
    </w:p>
    <w:p w:rsidR="008212E5" w:rsidRPr="008B7741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>-Onaylı nazım imar planı değişikliğinde gösterilen kamulaştırma alanının, öneri plan değişikliğinde Karayolları Yol Kena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Koruma Alanı olarak gösterildiği, diğer kullanımların aynı olduğu,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>-"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>-Aydın Mahallesi mevcut uygulama imar planı plan notla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aynen geçerlidir." şeklinde 1 adet plan notu önerildiği,</w:t>
      </w:r>
    </w:p>
    <w:p w:rsidR="008212E5" w:rsidRPr="008B7741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 xml:space="preserve">-Üniversite alanının Emsal=0,50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=Serbest olarak onaylı uygulama imar planındaki yapılaşma koşulunun korunduğu,</w:t>
      </w:r>
    </w:p>
    <w:p w:rsidR="008212E5" w:rsidRPr="008B7741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8B7741">
        <w:rPr>
          <w:sz w:val="24"/>
          <w:szCs w:val="24"/>
        </w:rPr>
        <w:t>-Onaylı Nazım İmar Planı değişikliği ile öneri uygulama imar planı değişikliği alan dağılımlarının aşağıdaki tabloda gösterildiği,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127"/>
        <w:gridCol w:w="1984"/>
      </w:tblGrid>
      <w:tr w:rsidR="008212E5" w:rsidTr="00695DFE">
        <w:tc>
          <w:tcPr>
            <w:tcW w:w="2835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Kullanım</w:t>
            </w:r>
          </w:p>
        </w:tc>
        <w:tc>
          <w:tcPr>
            <w:tcW w:w="2127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Onaylı NİP değ.</w:t>
            </w:r>
          </w:p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(m</w:t>
            </w:r>
            <w:r w:rsidRPr="00AF4033">
              <w:rPr>
                <w:sz w:val="24"/>
                <w:szCs w:val="24"/>
                <w:vertAlign w:val="superscript"/>
              </w:rPr>
              <w:t>2</w:t>
            </w:r>
            <w:r w:rsidRPr="00AF403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Öneri UİP değ.</w:t>
            </w:r>
          </w:p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(m</w:t>
            </w:r>
            <w:r w:rsidRPr="00AF4033">
              <w:rPr>
                <w:sz w:val="24"/>
                <w:szCs w:val="24"/>
                <w:vertAlign w:val="superscript"/>
              </w:rPr>
              <w:t>2</w:t>
            </w:r>
            <w:r w:rsidRPr="00AF4033">
              <w:rPr>
                <w:sz w:val="24"/>
                <w:szCs w:val="24"/>
              </w:rPr>
              <w:t>)</w:t>
            </w:r>
          </w:p>
        </w:tc>
      </w:tr>
      <w:tr w:rsidR="008212E5" w:rsidTr="00695DFE">
        <w:tc>
          <w:tcPr>
            <w:tcW w:w="2835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Üniversite Alanı</w:t>
            </w:r>
          </w:p>
        </w:tc>
        <w:tc>
          <w:tcPr>
            <w:tcW w:w="2127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433995</w:t>
            </w:r>
          </w:p>
        </w:tc>
        <w:tc>
          <w:tcPr>
            <w:tcW w:w="1984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433995</w:t>
            </w:r>
          </w:p>
        </w:tc>
      </w:tr>
      <w:tr w:rsidR="008212E5" w:rsidTr="00695DFE">
        <w:tc>
          <w:tcPr>
            <w:tcW w:w="2835" w:type="dxa"/>
          </w:tcPr>
          <w:p w:rsidR="008212E5" w:rsidRPr="00AF4033" w:rsidRDefault="008212E5" w:rsidP="00695DFE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Park Alanı</w:t>
            </w:r>
          </w:p>
        </w:tc>
        <w:tc>
          <w:tcPr>
            <w:tcW w:w="2127" w:type="dxa"/>
          </w:tcPr>
          <w:p w:rsidR="008212E5" w:rsidRPr="00AF4033" w:rsidRDefault="008212E5" w:rsidP="00695DFE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16539</w:t>
            </w:r>
          </w:p>
        </w:tc>
        <w:tc>
          <w:tcPr>
            <w:tcW w:w="1984" w:type="dxa"/>
          </w:tcPr>
          <w:p w:rsidR="008212E5" w:rsidRPr="00AF4033" w:rsidRDefault="008212E5" w:rsidP="00695DFE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16539</w:t>
            </w:r>
          </w:p>
        </w:tc>
      </w:tr>
      <w:tr w:rsidR="008212E5" w:rsidTr="00695DFE">
        <w:tc>
          <w:tcPr>
            <w:tcW w:w="2835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Pasif Yeşil Alan</w:t>
            </w:r>
          </w:p>
        </w:tc>
        <w:tc>
          <w:tcPr>
            <w:tcW w:w="2127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69548</w:t>
            </w:r>
          </w:p>
        </w:tc>
        <w:tc>
          <w:tcPr>
            <w:tcW w:w="1984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tabs>
                <w:tab w:val="left" w:leader="dot" w:pos="1837"/>
              </w:tabs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5352</w:t>
            </w:r>
          </w:p>
        </w:tc>
      </w:tr>
      <w:tr w:rsidR="008212E5" w:rsidTr="00695DFE">
        <w:tc>
          <w:tcPr>
            <w:tcW w:w="2835" w:type="dxa"/>
          </w:tcPr>
          <w:p w:rsidR="008212E5" w:rsidRPr="00AF4033" w:rsidRDefault="008212E5" w:rsidP="00695DFE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Yol</w:t>
            </w:r>
          </w:p>
        </w:tc>
        <w:tc>
          <w:tcPr>
            <w:tcW w:w="2127" w:type="dxa"/>
          </w:tcPr>
          <w:p w:rsidR="008212E5" w:rsidRPr="00AF4033" w:rsidRDefault="008212E5" w:rsidP="00695DFE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79276</w:t>
            </w:r>
          </w:p>
        </w:tc>
        <w:tc>
          <w:tcPr>
            <w:tcW w:w="1984" w:type="dxa"/>
          </w:tcPr>
          <w:p w:rsidR="008212E5" w:rsidRPr="00AF4033" w:rsidRDefault="008212E5" w:rsidP="00695DFE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44233</w:t>
            </w:r>
          </w:p>
        </w:tc>
      </w:tr>
      <w:tr w:rsidR="008212E5" w:rsidTr="00695DFE">
        <w:tc>
          <w:tcPr>
            <w:tcW w:w="2835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Karayolları Yol Kenarı</w:t>
            </w:r>
          </w:p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Koruma Alanı</w:t>
            </w:r>
          </w:p>
        </w:tc>
        <w:tc>
          <w:tcPr>
            <w:tcW w:w="2127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</w:p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</w:p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b w:val="0"/>
                <w:sz w:val="24"/>
                <w:szCs w:val="24"/>
              </w:rPr>
            </w:pPr>
            <w:r w:rsidRPr="00AF4033">
              <w:rPr>
                <w:b w:val="0"/>
                <w:sz w:val="24"/>
                <w:szCs w:val="24"/>
              </w:rPr>
              <w:t>99239</w:t>
            </w:r>
          </w:p>
        </w:tc>
      </w:tr>
      <w:tr w:rsidR="008212E5" w:rsidTr="00695DFE">
        <w:tc>
          <w:tcPr>
            <w:tcW w:w="2835" w:type="dxa"/>
          </w:tcPr>
          <w:p w:rsidR="008212E5" w:rsidRPr="00AF4033" w:rsidRDefault="008212E5" w:rsidP="00695DFE">
            <w:pPr>
              <w:pStyle w:val="Gvdemetni51"/>
              <w:shd w:val="clear" w:color="auto" w:fill="auto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Toplam Alan</w:t>
            </w:r>
          </w:p>
        </w:tc>
        <w:tc>
          <w:tcPr>
            <w:tcW w:w="2127" w:type="dxa"/>
          </w:tcPr>
          <w:p w:rsidR="008212E5" w:rsidRPr="00AF4033" w:rsidRDefault="008212E5" w:rsidP="00695DFE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599358</w:t>
            </w:r>
          </w:p>
        </w:tc>
        <w:tc>
          <w:tcPr>
            <w:tcW w:w="1984" w:type="dxa"/>
          </w:tcPr>
          <w:p w:rsidR="008212E5" w:rsidRPr="00AF4033" w:rsidRDefault="008212E5" w:rsidP="00695DFE">
            <w:pPr>
              <w:pStyle w:val="Gvdemetni10"/>
              <w:shd w:val="clear" w:color="auto" w:fill="auto"/>
              <w:spacing w:after="0" w:line="240" w:lineRule="auto"/>
              <w:ind w:left="80" w:firstLine="0"/>
              <w:rPr>
                <w:sz w:val="24"/>
                <w:szCs w:val="24"/>
              </w:rPr>
            </w:pPr>
            <w:r w:rsidRPr="00AF4033">
              <w:rPr>
                <w:sz w:val="24"/>
                <w:szCs w:val="24"/>
              </w:rPr>
              <w:t>599358</w:t>
            </w:r>
          </w:p>
        </w:tc>
      </w:tr>
    </w:tbl>
    <w:p w:rsidR="008212E5" w:rsidRPr="003B0AF0" w:rsidRDefault="008212E5" w:rsidP="008212E5">
      <w:pPr>
        <w:jc w:val="center"/>
      </w:pPr>
      <w:r w:rsidRPr="003B0AF0">
        <w:lastRenderedPageBreak/>
        <w:t>T.C.</w:t>
      </w:r>
    </w:p>
    <w:p w:rsidR="008212E5" w:rsidRPr="003B0AF0" w:rsidRDefault="008212E5" w:rsidP="008212E5">
      <w:pPr>
        <w:jc w:val="center"/>
      </w:pPr>
      <w:r w:rsidRPr="003B0AF0">
        <w:t>ANKARA BÜYÜKŞEHİR BELEDİYE MECLİSİ</w:t>
      </w:r>
    </w:p>
    <w:p w:rsidR="008212E5" w:rsidRPr="003B0AF0" w:rsidRDefault="008212E5" w:rsidP="008212E5">
      <w:pPr>
        <w:jc w:val="center"/>
      </w:pPr>
      <w:r w:rsidRPr="003B0AF0">
        <w:t>İmar ve Bayındırlık Komisyonu Raporu</w:t>
      </w:r>
    </w:p>
    <w:p w:rsidR="008212E5" w:rsidRDefault="008212E5" w:rsidP="008212E5">
      <w:pPr>
        <w:jc w:val="both"/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</w:pPr>
      <w:r w:rsidRPr="003B0AF0">
        <w:t>Rapor No: 2</w:t>
      </w:r>
      <w:r>
        <w:t>14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ab/>
      </w:r>
      <w:r>
        <w:tab/>
        <w:t xml:space="preserve">        14</w:t>
      </w:r>
      <w:r w:rsidRPr="003B0AF0">
        <w:t>.0</w:t>
      </w:r>
      <w:r>
        <w:t>9</w:t>
      </w:r>
      <w:r w:rsidRPr="003B0AF0">
        <w:t xml:space="preserve">.2020  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>- Yuka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>daki tabloda pasif yeşil alan ve yol alanı olarak gösterilen alanlardan; 64085 m2 pasif yeşil alan ve 35154 m2 yol alanının (toplam 99239 m2) onaylı nazım imar planı değişikliğinde Kamulaştırma Alanı olarak gösterildiği, öneri uygulama imar planında aynı alanın Karayolla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Yol Kena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Ko</w:t>
      </w:r>
      <w:r>
        <w:rPr>
          <w:sz w:val="24"/>
          <w:szCs w:val="24"/>
        </w:rPr>
        <w:t>ruma Alanı olarak gösterildiği,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8212E5" w:rsidRPr="00D40F40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10pt"/>
          <w:sz w:val="24"/>
          <w:szCs w:val="24"/>
        </w:rPr>
      </w:pPr>
      <w:r w:rsidRPr="00D40F40">
        <w:rPr>
          <w:rStyle w:val="Gvdemetni10pt"/>
          <w:sz w:val="24"/>
          <w:szCs w:val="24"/>
        </w:rPr>
        <w:t>Başkanlığımızca yapılan değerlendirmede;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>-Bahse konu plan değişikliği teklifinin onaylı nazım imar planına uygun olduğu,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-Üniversite Alanında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=Serbest ibaresinin; 3194 </w:t>
      </w:r>
      <w:r>
        <w:rPr>
          <w:sz w:val="24"/>
          <w:szCs w:val="24"/>
        </w:rPr>
        <w:t>s</w:t>
      </w:r>
      <w:r w:rsidRPr="008B7741">
        <w:rPr>
          <w:sz w:val="24"/>
          <w:szCs w:val="24"/>
        </w:rPr>
        <w:t xml:space="preserve">ayılı İmar Kanunu'nun 8. maddesinde (14.02.2020/7221/6. madde ile değişik) "İmar planlarında bina yükseklikleri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 Serbest olarak belirlenemez." hükmü gereğince çevredeki yapılaşmalar dikkate alınarak yapı yüksekliğinin belirlenmesi gerektiği</w:t>
      </w:r>
      <w:r>
        <w:rPr>
          <w:sz w:val="24"/>
          <w:szCs w:val="24"/>
        </w:rPr>
        <w:t xml:space="preserve"> g</w:t>
      </w:r>
      <w:r w:rsidRPr="008B7741">
        <w:rPr>
          <w:sz w:val="24"/>
          <w:szCs w:val="24"/>
        </w:rPr>
        <w:t>örüş ve kanaatine varıl</w:t>
      </w:r>
      <w:r>
        <w:rPr>
          <w:sz w:val="24"/>
          <w:szCs w:val="24"/>
        </w:rPr>
        <w:t>dığı,</w:t>
      </w:r>
    </w:p>
    <w:p w:rsidR="008212E5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8212E5" w:rsidRPr="00D40F40" w:rsidRDefault="008212E5" w:rsidP="008212E5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Hususları tespit edilmiş olup,</w:t>
      </w:r>
      <w:r w:rsidRPr="008B7741">
        <w:rPr>
          <w:sz w:val="24"/>
          <w:szCs w:val="24"/>
        </w:rPr>
        <w:t xml:space="preserve"> Gölbaşı Belediye Meclisinin 2020/106 sayılı kararı ile uygun görülen Gölbaşı 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 xml:space="preserve"> Mahallesi Ankara-Niğde Otoyolu </w:t>
      </w:r>
      <w:proofErr w:type="gramStart"/>
      <w:r w:rsidRPr="008B7741">
        <w:rPr>
          <w:sz w:val="24"/>
          <w:szCs w:val="24"/>
        </w:rPr>
        <w:t>güzergahı</w:t>
      </w:r>
      <w:proofErr w:type="gramEnd"/>
      <w:r w:rsidRPr="008B7741">
        <w:rPr>
          <w:sz w:val="24"/>
          <w:szCs w:val="24"/>
        </w:rPr>
        <w:t xml:space="preserve"> kapsamında kalan </w:t>
      </w:r>
      <w:proofErr w:type="spellStart"/>
      <w:r w:rsidRPr="008B7741">
        <w:rPr>
          <w:sz w:val="24"/>
          <w:szCs w:val="24"/>
        </w:rPr>
        <w:t>Karagedik</w:t>
      </w:r>
      <w:proofErr w:type="spellEnd"/>
      <w:r w:rsidRPr="008B7741">
        <w:rPr>
          <w:sz w:val="24"/>
          <w:szCs w:val="24"/>
        </w:rPr>
        <w:t xml:space="preserve"> Kavşağı 1/1000 ölçekli uygulama imar planı değişikliği teklifinin</w:t>
      </w:r>
      <w:r>
        <w:rPr>
          <w:sz w:val="24"/>
          <w:szCs w:val="24"/>
        </w:rPr>
        <w:t xml:space="preserve"> Üniversite alanında kat yüksekliğinin “5 kat” olarak belirlemek, onaylı ve 1/5000 ölçekli nazım imar planındaki “serbest” ifadesi iptal edilmek suretiyle  “</w:t>
      </w:r>
      <w:proofErr w:type="spellStart"/>
      <w:r>
        <w:rPr>
          <w:sz w:val="24"/>
          <w:szCs w:val="24"/>
        </w:rPr>
        <w:t>tadilen</w:t>
      </w:r>
      <w:proofErr w:type="spellEnd"/>
      <w:r>
        <w:rPr>
          <w:sz w:val="24"/>
          <w:szCs w:val="24"/>
        </w:rPr>
        <w:t xml:space="preserve"> onayı” komisyonumuzca oybirliğiyle uygun görülmüştür.</w:t>
      </w:r>
      <w:r w:rsidRPr="008B7741">
        <w:rPr>
          <w:sz w:val="24"/>
          <w:szCs w:val="24"/>
        </w:rPr>
        <w:t xml:space="preserve"> </w:t>
      </w:r>
    </w:p>
    <w:p w:rsidR="008212E5" w:rsidRPr="00E97250" w:rsidRDefault="008212E5" w:rsidP="008212E5">
      <w:pPr>
        <w:pStyle w:val="ListeParagraf"/>
        <w:tabs>
          <w:tab w:val="left" w:pos="0"/>
        </w:tabs>
        <w:ind w:left="0"/>
        <w:contextualSpacing/>
        <w:jc w:val="both"/>
      </w:pPr>
    </w:p>
    <w:p w:rsidR="008212E5" w:rsidRPr="00E97250" w:rsidRDefault="008212E5" w:rsidP="008212E5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E97250">
        <w:t xml:space="preserve"> Raporumuz Büyükşehir Belediye Meclisinin onayına arz olunur.</w:t>
      </w:r>
    </w:p>
    <w:p w:rsidR="008212E5" w:rsidRDefault="008212E5" w:rsidP="008212E5">
      <w:pPr>
        <w:jc w:val="both"/>
      </w:pPr>
    </w:p>
    <w:p w:rsidR="008212E5" w:rsidRDefault="008212E5" w:rsidP="008212E5">
      <w:pPr>
        <w:jc w:val="both"/>
      </w:pPr>
    </w:p>
    <w:p w:rsidR="008212E5" w:rsidRDefault="008212E5" w:rsidP="008212E5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8212E5" w:rsidRDefault="008212E5" w:rsidP="008212E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8212E5" w:rsidRDefault="008212E5" w:rsidP="008212E5">
      <w:pPr>
        <w:jc w:val="both"/>
      </w:pPr>
    </w:p>
    <w:p w:rsidR="008212E5" w:rsidRDefault="008212E5" w:rsidP="008212E5">
      <w:pPr>
        <w:jc w:val="both"/>
      </w:pPr>
    </w:p>
    <w:p w:rsidR="008212E5" w:rsidRDefault="008212E5" w:rsidP="008212E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8212E5" w:rsidRDefault="008212E5" w:rsidP="008212E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8212E5" w:rsidRDefault="008212E5" w:rsidP="008212E5">
      <w:pPr>
        <w:jc w:val="both"/>
      </w:pPr>
    </w:p>
    <w:p w:rsidR="008212E5" w:rsidRDefault="008212E5" w:rsidP="008212E5">
      <w:pPr>
        <w:jc w:val="both"/>
      </w:pPr>
    </w:p>
    <w:p w:rsidR="008212E5" w:rsidRDefault="008212E5" w:rsidP="008212E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8212E5" w:rsidRDefault="008212E5" w:rsidP="008212E5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Üye</w:t>
      </w:r>
      <w:r>
        <w:tab/>
      </w:r>
    </w:p>
    <w:p w:rsidR="008212E5" w:rsidRPr="00F056A8" w:rsidRDefault="008212E5" w:rsidP="008212E5">
      <w:pPr>
        <w:autoSpaceDE w:val="0"/>
        <w:autoSpaceDN w:val="0"/>
        <w:adjustRightInd w:val="0"/>
      </w:pPr>
    </w:p>
    <w:sectPr w:rsidR="008212E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9"/>
  </w:num>
  <w:num w:numId="5">
    <w:abstractNumId w:val="28"/>
  </w:num>
  <w:num w:numId="6">
    <w:abstractNumId w:val="29"/>
  </w:num>
  <w:num w:numId="7">
    <w:abstractNumId w:val="23"/>
  </w:num>
  <w:num w:numId="8">
    <w:abstractNumId w:val="43"/>
  </w:num>
  <w:num w:numId="9">
    <w:abstractNumId w:val="26"/>
  </w:num>
  <w:num w:numId="10">
    <w:abstractNumId w:val="22"/>
  </w:num>
  <w:num w:numId="11">
    <w:abstractNumId w:val="40"/>
  </w:num>
  <w:num w:numId="12">
    <w:abstractNumId w:val="21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0"/>
  </w:num>
  <w:num w:numId="16">
    <w:abstractNumId w:val="13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8"/>
  </w:num>
  <w:num w:numId="28">
    <w:abstractNumId w:val="1"/>
  </w:num>
  <w:num w:numId="29">
    <w:abstractNumId w:val="25"/>
  </w:num>
  <w:num w:numId="30">
    <w:abstractNumId w:val="14"/>
  </w:num>
  <w:num w:numId="31">
    <w:abstractNumId w:val="45"/>
  </w:num>
  <w:num w:numId="32">
    <w:abstractNumId w:val="19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1"/>
  </w:num>
  <w:num w:numId="46">
    <w:abstractNumId w:val="31"/>
  </w:num>
  <w:num w:numId="47">
    <w:abstractNumId w:val="4"/>
  </w:num>
  <w:num w:numId="48">
    <w:abstractNumId w:val="1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2E5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1F81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2020-10-09T10:33:00Z</cp:lastPrinted>
  <dcterms:created xsi:type="dcterms:W3CDTF">2020-10-09T10:37:00Z</dcterms:created>
  <dcterms:modified xsi:type="dcterms:W3CDTF">2020-10-16T07:22:00Z</dcterms:modified>
</cp:coreProperties>
</file>