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</w:t>
      </w:r>
      <w:r w:rsidR="00B51A24">
        <w:t>6</w:t>
      </w:r>
      <w:r w:rsidR="00683382">
        <w:t>3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683382" w:rsidP="00560702">
      <w:pPr>
        <w:ind w:right="-1" w:firstLine="708"/>
        <w:jc w:val="both"/>
      </w:pPr>
      <w:r>
        <w:t>Büyükşehir Belediyesinin sosyal ve kültürel faaliyetlerinin Akyurt İlçesi’ne sağlamış olduğu katkılarının araştırılmasına</w:t>
      </w:r>
      <w:r w:rsidR="00B862FA" w:rsidRPr="004B1542">
        <w:t xml:space="preserve"> </w:t>
      </w:r>
      <w:r w:rsidR="00E46E3B" w:rsidRPr="004B1542">
        <w:t xml:space="preserve">ilişkin </w:t>
      </w:r>
      <w:r>
        <w:t xml:space="preserve">Çevre İlçeleri Yatırım İzleme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>
        <w:t>2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082A7F">
      <w:pPr>
        <w:ind w:firstLine="708"/>
        <w:jc w:val="both"/>
      </w:pPr>
      <w:r w:rsidRPr="00F245FB">
        <w:t xml:space="preserve">Konu üzerinde yapılan görüşmelerden sonra; </w:t>
      </w:r>
      <w:r w:rsidR="00683382" w:rsidRPr="005F4A16">
        <w:t>Büyükşehir Belediyesinin sosyal ve kültürel faaliyetlerinin Akyurt İlçesi’ne sağlamış old</w:t>
      </w:r>
      <w:r w:rsidR="00683382">
        <w:t>uğu katkılarının araştırılmasına</w:t>
      </w:r>
      <w:r w:rsidR="00683382" w:rsidRPr="005F4A16">
        <w:t xml:space="preserve"> </w:t>
      </w:r>
      <w:r w:rsidR="00D14A26" w:rsidRPr="00F245FB">
        <w:t>ilişkin</w:t>
      </w:r>
      <w:r w:rsidRPr="00F245FB">
        <w:t xml:space="preserve"> </w:t>
      </w:r>
      <w:r w:rsidR="00683382">
        <w:t xml:space="preserve">Çevre İlçeleri Yatırım İzleme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Default="00F056A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ind w:right="-1"/>
        <w:jc w:val="both"/>
      </w:pPr>
    </w:p>
    <w:p w:rsidR="001C4F28" w:rsidRDefault="001C4F28" w:rsidP="001C4F28">
      <w:pPr>
        <w:jc w:val="center"/>
      </w:pPr>
    </w:p>
    <w:p w:rsidR="001C4F28" w:rsidRPr="00B90D49" w:rsidRDefault="001C4F28" w:rsidP="001C4F28">
      <w:pPr>
        <w:jc w:val="center"/>
      </w:pPr>
      <w:r w:rsidRPr="00B90D49">
        <w:t>T.C.</w:t>
      </w:r>
    </w:p>
    <w:p w:rsidR="001C4F28" w:rsidRPr="00B90D49" w:rsidRDefault="001C4F28" w:rsidP="001C4F28">
      <w:pPr>
        <w:jc w:val="center"/>
      </w:pPr>
      <w:r w:rsidRPr="00B90D49">
        <w:t>ANKARA BÜYÜKŞEHİR BELEDİYE MECLİSİ</w:t>
      </w:r>
    </w:p>
    <w:p w:rsidR="001C4F28" w:rsidRDefault="001C4F28" w:rsidP="001C4F28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1C4F28" w:rsidRDefault="001C4F28" w:rsidP="001C4F28">
      <w:pPr>
        <w:jc w:val="center"/>
      </w:pPr>
    </w:p>
    <w:p w:rsidR="001C4F28" w:rsidRDefault="001C4F28" w:rsidP="001C4F28">
      <w:pPr>
        <w:jc w:val="center"/>
      </w:pPr>
    </w:p>
    <w:p w:rsidR="001C4F28" w:rsidRDefault="001C4F28" w:rsidP="001C4F28">
      <w:r w:rsidRPr="00B90D49">
        <w:t xml:space="preserve">Rapor No: </w:t>
      </w:r>
      <w:r>
        <w:t>02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  27.04.2021</w:t>
      </w:r>
    </w:p>
    <w:p w:rsidR="001C4F28" w:rsidRDefault="001C4F28" w:rsidP="001C4F28">
      <w:pPr>
        <w:jc w:val="center"/>
      </w:pPr>
    </w:p>
    <w:p w:rsidR="001C4F28" w:rsidRDefault="001C4F28" w:rsidP="001C4F28">
      <w:pPr>
        <w:jc w:val="center"/>
      </w:pPr>
    </w:p>
    <w:p w:rsidR="001C4F28" w:rsidRDefault="001C4F28" w:rsidP="001C4F28">
      <w:pPr>
        <w:jc w:val="center"/>
      </w:pPr>
      <w:r w:rsidRPr="00B90D49">
        <w:t>BÜYÜKŞEHİR BELEDİYE MECLİSİ BAŞKANLIĞINA</w:t>
      </w:r>
    </w:p>
    <w:p w:rsidR="001C4F28" w:rsidRDefault="001C4F28" w:rsidP="001C4F28">
      <w:pPr>
        <w:jc w:val="center"/>
      </w:pPr>
    </w:p>
    <w:p w:rsidR="001C4F28" w:rsidRDefault="001C4F28" w:rsidP="001C4F28">
      <w:pPr>
        <w:ind w:left="708" w:firstLine="708"/>
        <w:jc w:val="center"/>
      </w:pPr>
    </w:p>
    <w:p w:rsidR="001C4F28" w:rsidRPr="00B90D49" w:rsidRDefault="001C4F28" w:rsidP="001C4F28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1C4F28" w:rsidRPr="00E73FE8" w:rsidRDefault="001C4F28" w:rsidP="001C4F28">
      <w:pPr>
        <w:pStyle w:val="GvdeMetniGirintisi"/>
      </w:pPr>
      <w:r>
        <w:t>Büyükşehir Belediyesinin sosyal ve kültürel faaliyetlerinin Akyurt İlçesi’ne sağlamış olduğu katkılarının araştırılmasına</w:t>
      </w:r>
      <w:r w:rsidRPr="00E73FE8">
        <w:t xml:space="preserve"> ilişkin Büyükşehir Belediye Meclisimizin 08.</w:t>
      </w:r>
      <w:r>
        <w:t>04</w:t>
      </w:r>
      <w:r w:rsidRPr="00E73FE8">
        <w:t xml:space="preserve">.2021 tarih ve </w:t>
      </w:r>
      <w:r>
        <w:t>06</w:t>
      </w:r>
      <w:r w:rsidRPr="00E73FE8">
        <w:t>. gündem maddesi olarak komisyonumuza havale edilen dosya incelendi.</w:t>
      </w:r>
    </w:p>
    <w:p w:rsidR="001C4F28" w:rsidRPr="006E6899" w:rsidRDefault="001C4F28" w:rsidP="001C4F28">
      <w:pPr>
        <w:ind w:firstLine="708"/>
        <w:jc w:val="both"/>
      </w:pPr>
    </w:p>
    <w:p w:rsidR="001C4F28" w:rsidRPr="006E6899" w:rsidRDefault="001C4F28" w:rsidP="001C4F28">
      <w:pPr>
        <w:ind w:firstLine="708"/>
        <w:jc w:val="both"/>
      </w:pPr>
      <w:r w:rsidRPr="006E6899">
        <w:t>Üye</w:t>
      </w:r>
      <w:r>
        <w:t xml:space="preserve"> Fethi </w:t>
      </w:r>
      <w:proofErr w:type="spellStart"/>
      <w:r>
        <w:t>AVCI’nın</w:t>
      </w:r>
      <w:proofErr w:type="spellEnd"/>
      <w:r>
        <w:t xml:space="preserve"> </w:t>
      </w:r>
      <w:r w:rsidRPr="006E6899">
        <w:t xml:space="preserve">verdiği önergede; </w:t>
      </w:r>
      <w:r>
        <w:t>Büyükşehir Belediyesinin sosyal ve kültürel faaliyetlerinin Akyurt İlçesi’ne sağlamış olduğu katkılarının araştırılmasının</w:t>
      </w:r>
      <w:r w:rsidRPr="006E6899">
        <w:t xml:space="preserve"> istenildiği;</w:t>
      </w:r>
    </w:p>
    <w:p w:rsidR="001C4F28" w:rsidRPr="006E6899" w:rsidRDefault="001C4F28" w:rsidP="001C4F28">
      <w:pPr>
        <w:ind w:firstLine="708"/>
        <w:jc w:val="both"/>
      </w:pPr>
    </w:p>
    <w:p w:rsidR="001C4F28" w:rsidRPr="005F4A16" w:rsidRDefault="001C4F28" w:rsidP="001C4F28">
      <w:pPr>
        <w:pStyle w:val="Gvdemetni3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4A16">
        <w:rPr>
          <w:rFonts w:ascii="Times New Roman" w:hAnsi="Times New Roman" w:cs="Times New Roman"/>
          <w:sz w:val="24"/>
          <w:szCs w:val="24"/>
        </w:rPr>
        <w:t>Komisyonumuzca yapılan incelemeler neticesinde; Büyükşehir Belediyesinin sosyal ve kültürel faaliyetlerinin Akyurt İlçesi’ne sağlamış old</w:t>
      </w:r>
      <w:r>
        <w:rPr>
          <w:rFonts w:ascii="Times New Roman" w:hAnsi="Times New Roman" w:cs="Times New Roman"/>
          <w:sz w:val="24"/>
          <w:szCs w:val="24"/>
        </w:rPr>
        <w:t>uğu katkılarının araştırılması</w:t>
      </w:r>
      <w:r w:rsidRPr="005F4A16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1C4F28" w:rsidRPr="00E73FE8" w:rsidRDefault="001C4F28" w:rsidP="001C4F28">
      <w:pPr>
        <w:ind w:firstLine="708"/>
        <w:jc w:val="both"/>
      </w:pPr>
    </w:p>
    <w:p w:rsidR="001C4F28" w:rsidRDefault="001C4F28" w:rsidP="001C4F28">
      <w:pPr>
        <w:ind w:firstLine="708"/>
        <w:jc w:val="both"/>
      </w:pPr>
      <w:r w:rsidRPr="004018EC">
        <w:t>Raporumuz Büyükşehir Belediye Meclisinin onayına arz olunur.</w:t>
      </w:r>
    </w:p>
    <w:p w:rsidR="001C4F28" w:rsidRDefault="001C4F28" w:rsidP="001C4F28">
      <w:pPr>
        <w:ind w:firstLine="708"/>
      </w:pPr>
    </w:p>
    <w:p w:rsidR="001C4F28" w:rsidRDefault="001C4F28" w:rsidP="001C4F28">
      <w:pPr>
        <w:ind w:firstLine="708"/>
      </w:pPr>
    </w:p>
    <w:p w:rsidR="001C4F28" w:rsidRDefault="001C4F28" w:rsidP="001C4F28">
      <w:pPr>
        <w:ind w:firstLine="708"/>
      </w:pPr>
    </w:p>
    <w:p w:rsidR="001C4F28" w:rsidRDefault="001C4F28" w:rsidP="001C4F28">
      <w:pPr>
        <w:ind w:firstLine="708"/>
      </w:pPr>
    </w:p>
    <w:p w:rsidR="001C4F28" w:rsidRDefault="001C4F28" w:rsidP="001C4F28"/>
    <w:p w:rsidR="001C4F28" w:rsidRDefault="001C4F28" w:rsidP="001C4F28"/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1C4F28" w:rsidTr="00B153B4">
        <w:trPr>
          <w:trHeight w:val="1417"/>
        </w:trPr>
        <w:tc>
          <w:tcPr>
            <w:tcW w:w="3231" w:type="dxa"/>
          </w:tcPr>
          <w:p w:rsidR="001C4F28" w:rsidRDefault="001C4F28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1C4F28" w:rsidRPr="00FA1897" w:rsidRDefault="001C4F28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1C4F28" w:rsidRDefault="001C4F28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1C4F28" w:rsidRPr="00FA1897" w:rsidRDefault="001C4F28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1C4F28" w:rsidRDefault="001C4F28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1C4F28" w:rsidRPr="00FA1897" w:rsidRDefault="001C4F28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C4F28" w:rsidTr="00B153B4">
        <w:trPr>
          <w:trHeight w:val="1417"/>
        </w:trPr>
        <w:tc>
          <w:tcPr>
            <w:tcW w:w="3231" w:type="dxa"/>
            <w:vAlign w:val="center"/>
          </w:tcPr>
          <w:p w:rsidR="001C4F28" w:rsidRDefault="001C4F28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1C4F28" w:rsidRPr="00FA1897" w:rsidRDefault="001C4F28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1C4F28" w:rsidRDefault="001C4F28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1C4F28" w:rsidRPr="00FA1897" w:rsidRDefault="001C4F28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1C4F28" w:rsidRDefault="001C4F28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Mehmet Kürşad KOÇAK</w:t>
            </w:r>
          </w:p>
          <w:p w:rsidR="001C4F28" w:rsidRPr="00FA1897" w:rsidRDefault="001C4F28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C4F28" w:rsidTr="00B153B4">
        <w:trPr>
          <w:trHeight w:val="1417"/>
        </w:trPr>
        <w:tc>
          <w:tcPr>
            <w:tcW w:w="3231" w:type="dxa"/>
            <w:vAlign w:val="bottom"/>
          </w:tcPr>
          <w:p w:rsidR="001C4F28" w:rsidRDefault="001C4F28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1C4F28" w:rsidRPr="00FA1897" w:rsidRDefault="001C4F28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1C4F28" w:rsidRDefault="001C4F28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1C4F28" w:rsidRPr="00FA1897" w:rsidRDefault="001C4F28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1C4F28" w:rsidRDefault="001C4F28" w:rsidP="00B153B4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Sibel AYGÜN</w:t>
            </w:r>
          </w:p>
          <w:p w:rsidR="001C4F28" w:rsidRPr="00FA1897" w:rsidRDefault="001C4F28" w:rsidP="00B153B4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1C4F28" w:rsidRPr="00C672B3" w:rsidRDefault="001C4F28" w:rsidP="001C4F28"/>
    <w:p w:rsidR="001C4F28" w:rsidRPr="004B1542" w:rsidRDefault="001C4F28" w:rsidP="001C4F28">
      <w:pPr>
        <w:ind w:right="-1"/>
        <w:jc w:val="both"/>
      </w:pPr>
    </w:p>
    <w:sectPr w:rsidR="001C4F2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2A7F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4F28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382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62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A2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62FA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79E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3"/>
    <w:rsid w:val="001C4F2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1C4F28"/>
    <w:pPr>
      <w:shd w:val="clear" w:color="auto" w:fill="FFFFFF"/>
      <w:spacing w:before="780" w:after="180" w:line="317" w:lineRule="exact"/>
      <w:ind w:firstLine="70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05247-5FEA-4664-865E-74F77C46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2021-05-28T11:12:00Z</dcterms:created>
  <dcterms:modified xsi:type="dcterms:W3CDTF">2021-05-31T12:49:00Z</dcterms:modified>
</cp:coreProperties>
</file>