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1C" w:rsidRDefault="0093221C"/>
    <w:p w:rsidR="0093221C" w:rsidRDefault="0093221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5051B" w:rsidTr="00642D5B">
        <w:trPr>
          <w:trHeight w:val="1008"/>
        </w:trPr>
        <w:tc>
          <w:tcPr>
            <w:tcW w:w="3510" w:type="dxa"/>
          </w:tcPr>
          <w:p w:rsidR="002F1D19" w:rsidRDefault="00A77E6D" w:rsidP="00A77E6D">
            <w:pPr>
              <w:ind w:left="708" w:firstLine="708"/>
            </w:pPr>
            <w:r w:rsidRPr="0055051B">
              <w:t xml:space="preserve"> </w:t>
            </w:r>
            <w:r w:rsidR="00EE7B7B">
              <w:t xml:space="preserve">  </w:t>
            </w:r>
          </w:p>
          <w:p w:rsidR="00003874" w:rsidRPr="0055051B" w:rsidRDefault="002F1D19" w:rsidP="00A77E6D">
            <w:pPr>
              <w:ind w:left="708" w:firstLine="708"/>
            </w:pPr>
            <w:r>
              <w:t xml:space="preserve">   </w:t>
            </w:r>
            <w:r w:rsidR="00003874" w:rsidRPr="0055051B">
              <w:t>T.C.</w:t>
            </w:r>
          </w:p>
          <w:p w:rsidR="00003874" w:rsidRPr="0055051B" w:rsidRDefault="00003874" w:rsidP="00642D5B">
            <w:pPr>
              <w:jc w:val="center"/>
            </w:pPr>
            <w:r w:rsidRPr="0055051B">
              <w:t>ANKARA BÜYÜKŞEHİR</w:t>
            </w:r>
          </w:p>
          <w:p w:rsidR="00003874" w:rsidRPr="0055051B" w:rsidRDefault="00003874" w:rsidP="00642D5B">
            <w:pPr>
              <w:jc w:val="center"/>
            </w:pPr>
            <w:r w:rsidRPr="0055051B">
              <w:t>BELEDİYE MECLİSİ</w:t>
            </w:r>
          </w:p>
        </w:tc>
      </w:tr>
    </w:tbl>
    <w:p w:rsidR="002856BD" w:rsidRDefault="002856BD" w:rsidP="002856BD">
      <w:pPr>
        <w:tabs>
          <w:tab w:val="left" w:pos="1935"/>
        </w:tabs>
        <w:jc w:val="both"/>
      </w:pPr>
    </w:p>
    <w:p w:rsidR="00037382" w:rsidRDefault="00037382" w:rsidP="002856BD">
      <w:pPr>
        <w:tabs>
          <w:tab w:val="left" w:pos="1935"/>
        </w:tabs>
        <w:jc w:val="both"/>
      </w:pPr>
    </w:p>
    <w:p w:rsidR="002F1D19" w:rsidRPr="0055051B" w:rsidRDefault="002F1D19" w:rsidP="002856BD">
      <w:pPr>
        <w:tabs>
          <w:tab w:val="left" w:pos="1935"/>
        </w:tabs>
        <w:jc w:val="both"/>
      </w:pPr>
    </w:p>
    <w:p w:rsidR="00E46E3B" w:rsidRPr="0055051B" w:rsidRDefault="002856BD" w:rsidP="00E46E3B">
      <w:pPr>
        <w:ind w:right="-1"/>
        <w:jc w:val="both"/>
      </w:pPr>
      <w:r w:rsidRPr="0055051B">
        <w:t>Karar No:</w:t>
      </w:r>
      <w:r w:rsidR="00837013">
        <w:t>1</w:t>
      </w:r>
      <w:r w:rsidR="00EE7B7B">
        <w:t>2</w:t>
      </w:r>
      <w:r w:rsidR="00C8662B">
        <w:t>5</w:t>
      </w:r>
      <w:r w:rsidR="00D81B4D">
        <w:t>7</w:t>
      </w:r>
      <w:r w:rsidRPr="0055051B">
        <w:t xml:space="preserve"> </w:t>
      </w:r>
      <w:r w:rsidRPr="0055051B">
        <w:tab/>
      </w:r>
      <w:r w:rsidRPr="0055051B">
        <w:tab/>
        <w:t xml:space="preserve">  </w:t>
      </w:r>
      <w:r w:rsidR="00256B97" w:rsidRPr="0055051B">
        <w:tab/>
      </w:r>
      <w:r w:rsidR="00106A13" w:rsidRPr="0055051B">
        <w:tab/>
      </w:r>
      <w:r w:rsidR="00EB0EEC" w:rsidRPr="0055051B">
        <w:tab/>
      </w:r>
      <w:r w:rsidR="00EA7EF5" w:rsidRPr="0055051B">
        <w:t xml:space="preserve">        </w:t>
      </w:r>
      <w:r w:rsidR="00F02854" w:rsidRPr="0055051B">
        <w:t xml:space="preserve"> </w:t>
      </w:r>
      <w:r w:rsidR="00DA29AD" w:rsidRPr="0055051B">
        <w:t xml:space="preserve">         </w:t>
      </w:r>
      <w:r w:rsidR="003155C1" w:rsidRPr="0055051B">
        <w:t xml:space="preserve">       </w:t>
      </w:r>
      <w:r w:rsidR="00954D1A" w:rsidRPr="0055051B">
        <w:t xml:space="preserve">              </w:t>
      </w:r>
      <w:r w:rsidR="003831F7" w:rsidRPr="0055051B">
        <w:t xml:space="preserve">        </w:t>
      </w:r>
      <w:r w:rsidR="00EE7B7B">
        <w:t xml:space="preserve">  </w:t>
      </w:r>
      <w:r w:rsidR="003831F7" w:rsidRPr="0055051B">
        <w:t xml:space="preserve"> </w:t>
      </w:r>
      <w:r w:rsidR="00EE7B7B">
        <w:t>12</w:t>
      </w:r>
      <w:r w:rsidR="00642D5B" w:rsidRPr="0055051B">
        <w:t>.0</w:t>
      </w:r>
      <w:r w:rsidR="00EE7B7B">
        <w:t>6</w:t>
      </w:r>
      <w:r w:rsidR="00642D5B" w:rsidRPr="0055051B">
        <w:t>.2021</w:t>
      </w:r>
    </w:p>
    <w:p w:rsidR="00E46E3B" w:rsidRDefault="00E46E3B" w:rsidP="00E46E3B">
      <w:pPr>
        <w:ind w:right="-1"/>
        <w:jc w:val="both"/>
      </w:pPr>
    </w:p>
    <w:p w:rsidR="00037382" w:rsidRDefault="00037382" w:rsidP="00E46E3B">
      <w:pPr>
        <w:ind w:right="-1"/>
        <w:jc w:val="both"/>
      </w:pPr>
    </w:p>
    <w:p w:rsidR="002F1D19" w:rsidRPr="0055051B" w:rsidRDefault="002F1D19" w:rsidP="00E46E3B">
      <w:pPr>
        <w:ind w:right="-1"/>
        <w:jc w:val="both"/>
      </w:pPr>
    </w:p>
    <w:p w:rsidR="009307A8" w:rsidRDefault="002856BD" w:rsidP="00BA3D7F">
      <w:pPr>
        <w:ind w:right="-1"/>
        <w:jc w:val="center"/>
      </w:pPr>
      <w:r w:rsidRPr="0055051B">
        <w:t>K A R A R</w:t>
      </w:r>
    </w:p>
    <w:p w:rsidR="002F1D19" w:rsidRDefault="002F1D19" w:rsidP="003831F7">
      <w:pPr>
        <w:ind w:right="-1"/>
      </w:pPr>
    </w:p>
    <w:p w:rsidR="002F1D19" w:rsidRPr="0055051B" w:rsidRDefault="002F1D19" w:rsidP="003831F7">
      <w:pPr>
        <w:ind w:right="-1"/>
      </w:pPr>
    </w:p>
    <w:p w:rsidR="009307A8" w:rsidRPr="0055051B" w:rsidRDefault="009307A8" w:rsidP="003831F7">
      <w:pPr>
        <w:ind w:right="-1"/>
      </w:pPr>
    </w:p>
    <w:p w:rsidR="005E3DF0" w:rsidRPr="0055051B" w:rsidRDefault="005E3DF0" w:rsidP="005E3DF0">
      <w:pPr>
        <w:ind w:right="-1"/>
        <w:jc w:val="center"/>
      </w:pPr>
    </w:p>
    <w:p w:rsidR="00E46E3B" w:rsidRPr="00EE7B7B" w:rsidRDefault="00D81B4D" w:rsidP="00EE7B7B">
      <w:pPr>
        <w:tabs>
          <w:tab w:val="left" w:pos="8789"/>
          <w:tab w:val="left" w:pos="8931"/>
        </w:tabs>
        <w:ind w:firstLine="708"/>
        <w:jc w:val="both"/>
      </w:pPr>
      <w:r w:rsidRPr="00CC50D9">
        <w:t>Sayıştay Raporu doğrultusunda Büyükşehir Belediyesi, ASKİ ve EGO Genel Müdürlüğündeki memur, işçi personel ile belediye iştiraklerinde çalışan personelin kullandıkları kartlardan bakiye aktarımı yapılmamasına</w:t>
      </w:r>
      <w:r w:rsidR="00B5717F">
        <w:t xml:space="preserve"> </w:t>
      </w:r>
      <w:r w:rsidR="002F1D19">
        <w:t>ilişkin Hukuk ve Tarifeler</w:t>
      </w:r>
      <w:r w:rsidR="00EE7B7B" w:rsidRPr="00EE7B7B">
        <w:t xml:space="preserve"> </w:t>
      </w:r>
      <w:r w:rsidR="00771EB7" w:rsidRPr="00EE7B7B">
        <w:t>K</w:t>
      </w:r>
      <w:r w:rsidR="006A32A2" w:rsidRPr="00EE7B7B">
        <w:t>o</w:t>
      </w:r>
      <w:r w:rsidR="009307A8" w:rsidRPr="00EE7B7B">
        <w:t xml:space="preserve">misyonunun </w:t>
      </w:r>
      <w:r w:rsidR="00EE7B7B">
        <w:t>31</w:t>
      </w:r>
      <w:r w:rsidR="00FB09B0" w:rsidRPr="00EE7B7B">
        <w:t>.0</w:t>
      </w:r>
      <w:r w:rsidR="00EE7B7B">
        <w:t>5</w:t>
      </w:r>
      <w:r w:rsidR="00FB09B0" w:rsidRPr="00EE7B7B">
        <w:t>.2</w:t>
      </w:r>
      <w:r w:rsidR="0097596B" w:rsidRPr="00EE7B7B">
        <w:t xml:space="preserve">021 gün ve </w:t>
      </w:r>
      <w:r w:rsidR="00B5717F">
        <w:t>3</w:t>
      </w:r>
      <w:r>
        <w:t>3</w:t>
      </w:r>
      <w:r w:rsidR="00E46E3B" w:rsidRPr="00EE7B7B">
        <w:t xml:space="preserve"> sayılı raporu Büyükşehir Belediye Meclisimizin </w:t>
      </w:r>
      <w:r w:rsidR="00EE7B7B">
        <w:t>12</w:t>
      </w:r>
      <w:r w:rsidR="00771EB7" w:rsidRPr="00EE7B7B">
        <w:t>.0</w:t>
      </w:r>
      <w:r w:rsidR="00EE7B7B">
        <w:t>6</w:t>
      </w:r>
      <w:r w:rsidR="00E46E3B" w:rsidRPr="00EE7B7B">
        <w:t>.2021 tarihli toplantısında okundu.</w:t>
      </w:r>
    </w:p>
    <w:p w:rsidR="00E46E3B" w:rsidRPr="00EE7B7B" w:rsidRDefault="00E46E3B" w:rsidP="00EE7B7B">
      <w:pPr>
        <w:tabs>
          <w:tab w:val="left" w:pos="8789"/>
          <w:tab w:val="left" w:pos="8931"/>
        </w:tabs>
        <w:jc w:val="both"/>
      </w:pPr>
    </w:p>
    <w:p w:rsidR="00D81B4D" w:rsidRPr="00CC50D9" w:rsidRDefault="006E608D" w:rsidP="00D81B4D">
      <w:pPr>
        <w:pStyle w:val="GvdeMetni"/>
        <w:tabs>
          <w:tab w:val="left" w:pos="9356"/>
        </w:tabs>
        <w:ind w:firstLine="709"/>
        <w:contextualSpacing/>
      </w:pPr>
      <w:r w:rsidRPr="00EE7B7B">
        <w:t>Konu üzerin</w:t>
      </w:r>
      <w:r w:rsidR="003831F7" w:rsidRPr="00EE7B7B">
        <w:t xml:space="preserve">de yapılan görüşmelerden sonra; </w:t>
      </w:r>
      <w:r w:rsidR="00D81B4D" w:rsidRPr="00CC50D9">
        <w:t>Ankara Büyükşehir Belediyesi, ASKİ ve EGO Genel Müdürlüğü bünyesinde çalışan memur ve işçi personel ile Belediyemiz iştirakleri olan şirketlerde çalışanlara, işe geliş-gidişlerinde toplu taşıma araçlarım kullanmaları amacıyla kişiselleştirilmiş Ankara Kartlarına belli miktarlarda yükleme yapılmaktadır. Ankara Büyükşehir Belediye Meclisi'nin 15.12.2017 tarih ve 2448 sayılı Kararı'yla aylık en fazla üç farklı karta 90 biniş tutarım geçmeyecek şekilde karttan karta bakiye aktarma yapılabilmesine yönelik karar alınmıştır. Bu tarihten sonrada işe geliş-gidişlerinde kullanılmak üzere yapılan yüklemeler, başka kartlara aktarılmak suretiyle satılmış ve hak sahibi personel dışındaki kişilerce kullanıldığı;</w:t>
      </w:r>
    </w:p>
    <w:p w:rsidR="00D81B4D" w:rsidRPr="00CC50D9" w:rsidRDefault="00D81B4D" w:rsidP="00D81B4D">
      <w:pPr>
        <w:pStyle w:val="Gvdemetni3"/>
        <w:shd w:val="clear" w:color="auto" w:fill="auto"/>
        <w:spacing w:line="240" w:lineRule="auto"/>
        <w:ind w:firstLine="709"/>
        <w:jc w:val="both"/>
        <w:rPr>
          <w:sz w:val="24"/>
          <w:szCs w:val="24"/>
        </w:rPr>
      </w:pPr>
    </w:p>
    <w:p w:rsidR="00D81B4D" w:rsidRPr="00CC50D9" w:rsidRDefault="00D81B4D" w:rsidP="00D81B4D">
      <w:pPr>
        <w:pStyle w:val="Gvdemetni3"/>
        <w:shd w:val="clear" w:color="auto" w:fill="auto"/>
        <w:spacing w:line="240" w:lineRule="auto"/>
        <w:ind w:firstLine="709"/>
        <w:jc w:val="both"/>
        <w:rPr>
          <w:sz w:val="24"/>
          <w:szCs w:val="24"/>
        </w:rPr>
      </w:pPr>
      <w:r w:rsidRPr="00CC50D9">
        <w:rPr>
          <w:sz w:val="24"/>
          <w:szCs w:val="24"/>
        </w:rPr>
        <w:t>Ankara Büyükşehir Belediye Başkanlığı'nca, 30.12.2020 tarih ve 98279 sayılı yazı ile Ankara Büyükşehir Belediyesi 2019 yılı Sayıştay Denetim Raporunun Bulgu 21'inci maddesinde yer alan personele ait toplu taşıma kartlarına yapılan yüklemelerin amacına aykırı kullanılması konusunda Sayıştay Başkanlığının önerileri doğrultusunda iş ve işlemlerin yapılması istenildiği;</w:t>
      </w:r>
    </w:p>
    <w:p w:rsidR="00D81B4D" w:rsidRPr="00CC50D9" w:rsidRDefault="00D81B4D" w:rsidP="00D81B4D">
      <w:pPr>
        <w:pStyle w:val="Gvdemetni3"/>
        <w:shd w:val="clear" w:color="auto" w:fill="auto"/>
        <w:spacing w:line="240" w:lineRule="auto"/>
        <w:ind w:firstLine="709"/>
        <w:jc w:val="both"/>
        <w:rPr>
          <w:sz w:val="24"/>
          <w:szCs w:val="24"/>
        </w:rPr>
      </w:pPr>
    </w:p>
    <w:p w:rsidR="00D81B4D" w:rsidRPr="00CC50D9" w:rsidRDefault="00D81B4D" w:rsidP="00D81B4D">
      <w:pPr>
        <w:pStyle w:val="Gvdemetni3"/>
        <w:shd w:val="clear" w:color="auto" w:fill="auto"/>
        <w:spacing w:line="240" w:lineRule="auto"/>
        <w:ind w:firstLine="709"/>
        <w:jc w:val="both"/>
        <w:rPr>
          <w:sz w:val="24"/>
          <w:szCs w:val="24"/>
        </w:rPr>
      </w:pPr>
      <w:proofErr w:type="gramStart"/>
      <w:r>
        <w:rPr>
          <w:sz w:val="24"/>
          <w:szCs w:val="24"/>
        </w:rPr>
        <w:t>EGO Genel Müdürlüğüne</w:t>
      </w:r>
      <w:r w:rsidRPr="00CC50D9">
        <w:rPr>
          <w:sz w:val="24"/>
          <w:szCs w:val="24"/>
        </w:rPr>
        <w:t xml:space="preserve"> gönderilen 2019 yılı Ankara Büyükşehir Belediye Başkanlığı Sayıştay Başkanlığı Denetim Raporunun</w:t>
      </w:r>
      <w:r w:rsidRPr="00CC50D9">
        <w:rPr>
          <w:rStyle w:val="GvdemetniKaln"/>
          <w:sz w:val="24"/>
          <w:szCs w:val="24"/>
        </w:rPr>
        <w:t xml:space="preserve"> </w:t>
      </w:r>
      <w:r w:rsidRPr="00D81B4D">
        <w:rPr>
          <w:rStyle w:val="GvdemetniKaln"/>
          <w:b w:val="0"/>
          <w:sz w:val="24"/>
          <w:szCs w:val="24"/>
        </w:rPr>
        <w:t>"Personele ait toplu taşıma kartlarına yapılan yüklemelerin amacına aykırı kullanılması"</w:t>
      </w:r>
      <w:r w:rsidRPr="00CC50D9">
        <w:rPr>
          <w:sz w:val="24"/>
          <w:szCs w:val="24"/>
        </w:rPr>
        <w:t xml:space="preserve"> başlıklı Bulgu 21 'inci maddesinde, 2019 yılı Eylül ayı bazında yapılan inceleme neticesinde, Büyükşehir Belediyesinde çalışan memurlara, işe geliş-gidişlerinde toplu taşıma araçlarım kullanmaları amacıyla yüklenen biniş haklarından yalnızca 189.016,30 TL değerindeki hakkın doğrudan kart sahibi tarafından kullanıldığı ve geriye kalan 983.792,00 TL değerindeki hakkın ise bahsi geçen amaca aykırı olarak aktarma yöntemi ile başka kişilere kullandırıldığının tespit edildiği ve böylece örnek olarak seçilen bir aylık dönemde yaklaşık %80 oranında amaç dışı kullanım olduğunun görüldüğü belirtilerek, memur personelin toplu taşıma kartlarına yüklenen aylık 90 biniş hakkı karşılığı parasal değerin, meclis kararlarında belirtilen amaçlar dışında kullanılmasını önlemek amacıyla üçüncü kişilere aktarılmasının önlenmesinin gerektiği belirtildiği;</w:t>
      </w:r>
      <w:proofErr w:type="gramEnd"/>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81B4D" w:rsidRPr="0055051B" w:rsidTr="00FF036A">
        <w:trPr>
          <w:trHeight w:val="1008"/>
        </w:trPr>
        <w:tc>
          <w:tcPr>
            <w:tcW w:w="3510" w:type="dxa"/>
          </w:tcPr>
          <w:p w:rsidR="00D81B4D" w:rsidRDefault="00D81B4D" w:rsidP="00FF036A">
            <w:pPr>
              <w:ind w:left="708" w:firstLine="708"/>
            </w:pPr>
            <w:r w:rsidRPr="0055051B">
              <w:t xml:space="preserve"> </w:t>
            </w:r>
            <w:r>
              <w:t xml:space="preserve">  </w:t>
            </w:r>
          </w:p>
          <w:p w:rsidR="00D81B4D" w:rsidRPr="0055051B" w:rsidRDefault="00D81B4D" w:rsidP="00FF036A">
            <w:pPr>
              <w:ind w:left="708" w:firstLine="708"/>
            </w:pPr>
            <w:r>
              <w:t xml:space="preserve">   </w:t>
            </w:r>
            <w:r w:rsidRPr="0055051B">
              <w:t>T.C.</w:t>
            </w:r>
          </w:p>
          <w:p w:rsidR="00D81B4D" w:rsidRPr="0055051B" w:rsidRDefault="00D81B4D" w:rsidP="00FF036A">
            <w:pPr>
              <w:jc w:val="center"/>
            </w:pPr>
            <w:r w:rsidRPr="0055051B">
              <w:t>ANKARA BÜYÜKŞEHİR</w:t>
            </w:r>
          </w:p>
          <w:p w:rsidR="00D81B4D" w:rsidRPr="0055051B" w:rsidRDefault="00D81B4D" w:rsidP="00FF036A">
            <w:pPr>
              <w:jc w:val="center"/>
            </w:pPr>
            <w:r w:rsidRPr="0055051B">
              <w:t>BELEDİYE MECLİSİ</w:t>
            </w:r>
          </w:p>
        </w:tc>
      </w:tr>
    </w:tbl>
    <w:p w:rsidR="00D81B4D" w:rsidRDefault="00D81B4D" w:rsidP="00D81B4D">
      <w:pPr>
        <w:tabs>
          <w:tab w:val="left" w:pos="1935"/>
        </w:tabs>
        <w:jc w:val="both"/>
      </w:pPr>
    </w:p>
    <w:p w:rsidR="00D81B4D" w:rsidRDefault="00D81B4D" w:rsidP="00D81B4D">
      <w:pPr>
        <w:tabs>
          <w:tab w:val="left" w:pos="1935"/>
        </w:tabs>
        <w:jc w:val="both"/>
      </w:pPr>
    </w:p>
    <w:p w:rsidR="00D81B4D" w:rsidRPr="0055051B" w:rsidRDefault="00D81B4D" w:rsidP="00D81B4D">
      <w:pPr>
        <w:tabs>
          <w:tab w:val="left" w:pos="1935"/>
        </w:tabs>
        <w:jc w:val="both"/>
      </w:pPr>
    </w:p>
    <w:p w:rsidR="00D81B4D" w:rsidRPr="0055051B" w:rsidRDefault="00D81B4D" w:rsidP="00D81B4D">
      <w:pPr>
        <w:ind w:right="-1"/>
        <w:jc w:val="both"/>
      </w:pPr>
      <w:r w:rsidRPr="0055051B">
        <w:t>Karar No:</w:t>
      </w:r>
      <w:r>
        <w:t>1257</w:t>
      </w:r>
      <w:r w:rsidRPr="0055051B">
        <w:t xml:space="preserve"> </w:t>
      </w:r>
      <w:r w:rsidRPr="0055051B">
        <w:tab/>
      </w:r>
      <w:r w:rsidRPr="0055051B">
        <w:tab/>
        <w:t xml:space="preserve">  </w:t>
      </w:r>
      <w:r w:rsidRPr="0055051B">
        <w:tab/>
      </w:r>
      <w:r w:rsidRPr="0055051B">
        <w:tab/>
      </w:r>
      <w:r w:rsidRPr="0055051B">
        <w:tab/>
        <w:t xml:space="preserve">                                               </w:t>
      </w:r>
      <w:r>
        <w:t xml:space="preserve">  </w:t>
      </w:r>
      <w:r w:rsidRPr="0055051B">
        <w:t xml:space="preserve"> </w:t>
      </w:r>
      <w:r>
        <w:t>12</w:t>
      </w:r>
      <w:r w:rsidRPr="0055051B">
        <w:t>.0</w:t>
      </w:r>
      <w:r>
        <w:t>6</w:t>
      </w:r>
      <w:r w:rsidRPr="0055051B">
        <w:t>.2021</w:t>
      </w:r>
    </w:p>
    <w:p w:rsidR="00D81B4D" w:rsidRDefault="00D81B4D" w:rsidP="00D81B4D">
      <w:pPr>
        <w:pStyle w:val="Gvdemetni3"/>
        <w:shd w:val="clear" w:color="auto" w:fill="auto"/>
        <w:spacing w:line="240" w:lineRule="auto"/>
        <w:jc w:val="center"/>
        <w:rPr>
          <w:sz w:val="24"/>
          <w:szCs w:val="24"/>
        </w:rPr>
      </w:pPr>
    </w:p>
    <w:p w:rsidR="00D81B4D" w:rsidRDefault="00D81B4D" w:rsidP="00D81B4D">
      <w:pPr>
        <w:pStyle w:val="Gvdemetni3"/>
        <w:shd w:val="clear" w:color="auto" w:fill="auto"/>
        <w:spacing w:line="240" w:lineRule="auto"/>
        <w:jc w:val="center"/>
        <w:rPr>
          <w:sz w:val="24"/>
          <w:szCs w:val="24"/>
        </w:rPr>
      </w:pPr>
    </w:p>
    <w:p w:rsidR="00D81B4D" w:rsidRDefault="00D81B4D" w:rsidP="00D81B4D">
      <w:pPr>
        <w:pStyle w:val="Gvdemetni3"/>
        <w:shd w:val="clear" w:color="auto" w:fill="auto"/>
        <w:spacing w:line="240" w:lineRule="auto"/>
        <w:jc w:val="center"/>
        <w:rPr>
          <w:sz w:val="24"/>
          <w:szCs w:val="24"/>
        </w:rPr>
      </w:pPr>
      <w:r>
        <w:rPr>
          <w:sz w:val="24"/>
          <w:szCs w:val="24"/>
        </w:rPr>
        <w:t>-2-</w:t>
      </w: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p>
    <w:p w:rsidR="00D81B4D" w:rsidRPr="00CC50D9" w:rsidRDefault="00D81B4D" w:rsidP="00D81B4D">
      <w:pPr>
        <w:pStyle w:val="Gvdemetni3"/>
        <w:shd w:val="clear" w:color="auto" w:fill="auto"/>
        <w:spacing w:line="240" w:lineRule="auto"/>
        <w:ind w:firstLine="709"/>
        <w:jc w:val="both"/>
        <w:rPr>
          <w:sz w:val="24"/>
          <w:szCs w:val="24"/>
        </w:rPr>
      </w:pPr>
    </w:p>
    <w:p w:rsidR="00D81B4D" w:rsidRDefault="00D81B4D" w:rsidP="00D81B4D">
      <w:pPr>
        <w:pStyle w:val="Gvdemetni3"/>
        <w:shd w:val="clear" w:color="auto" w:fill="auto"/>
        <w:spacing w:line="240" w:lineRule="auto"/>
        <w:ind w:firstLine="709"/>
        <w:jc w:val="both"/>
        <w:rPr>
          <w:sz w:val="24"/>
          <w:szCs w:val="24"/>
        </w:rPr>
      </w:pPr>
      <w:r w:rsidRPr="00CC50D9">
        <w:rPr>
          <w:sz w:val="24"/>
          <w:szCs w:val="24"/>
        </w:rPr>
        <w:t>Diğer yandan 4736 sayılı Kamu Kurum ve Kuruluşlarının ürettikleri Mal ve Hizmet tarifeleri ile Bazı kanunlarda Değişiklik yapılması Hakkında kanun ile belediyeler tarafından yapılan toplu taşıma hizmetlerinden ücretsiz ya da indirimli ücretli yararlanabilecekleri tadat edilmek suretiyle sayılmıştır. Personele işe geliş ve gidişleri için verilen biniş haklarının bir kısmının ya da tamamının başkaları tarafından kullanılması, dolaylı olarak anılan mevzuata da aykırılık oluşturduğu;</w:t>
      </w:r>
    </w:p>
    <w:p w:rsidR="00D81B4D" w:rsidRPr="00CC50D9" w:rsidRDefault="00D81B4D" w:rsidP="00D81B4D">
      <w:pPr>
        <w:pStyle w:val="Gvdemetni3"/>
        <w:shd w:val="clear" w:color="auto" w:fill="auto"/>
        <w:spacing w:line="240" w:lineRule="auto"/>
        <w:ind w:firstLine="709"/>
        <w:jc w:val="both"/>
        <w:rPr>
          <w:sz w:val="24"/>
          <w:szCs w:val="24"/>
        </w:rPr>
      </w:pPr>
    </w:p>
    <w:p w:rsidR="002F1D19" w:rsidRDefault="00D81B4D" w:rsidP="00D81B4D">
      <w:pPr>
        <w:autoSpaceDE w:val="0"/>
        <w:autoSpaceDN w:val="0"/>
        <w:adjustRightInd w:val="0"/>
        <w:ind w:firstLine="708"/>
        <w:jc w:val="both"/>
      </w:pPr>
      <w:r w:rsidRPr="00CC50D9">
        <w:t>Sayıştay Raporundaki tespitler ve yaşanan olumsuzlukların ortadan kaldırılması için Ankara Büyükşehir Belediyesi, ASKİ ve EGO Genel Müdürlüğü personeli ile Belediyemiz iştirakleri olan şirket çalışanlarına işe geliş-gidişleri için verilen personel Ankara</w:t>
      </w:r>
      <w:r>
        <w:t xml:space="preserve"> </w:t>
      </w:r>
      <w:r w:rsidRPr="00CC50D9">
        <w:t>ka</w:t>
      </w:r>
      <w:r>
        <w:t>rtların</w:t>
      </w:r>
      <w:r w:rsidRPr="00CC50D9">
        <w:t>dan başka kartlara bakiye aktarımı yapılmaması</w:t>
      </w:r>
      <w:r w:rsidR="00BD592F">
        <w:t xml:space="preserve"> (Belediye Meclisinin 15.12.2017 gün ve 2448 sayılı kararının iptaliyle)</w:t>
      </w:r>
      <w:r w:rsidRPr="00CC50D9">
        <w:t xml:space="preserve"> bu konuda düzenleme yapmak üzere EGO Genel Müdürlüğü'nün yetkilendirilmesi</w:t>
      </w:r>
      <w:r>
        <w:t xml:space="preserve">ne </w:t>
      </w:r>
      <w:r w:rsidR="00037382">
        <w:rPr>
          <w:color w:val="000000"/>
          <w:spacing w:val="-2"/>
        </w:rPr>
        <w:t>i</w:t>
      </w:r>
      <w:r w:rsidR="002F1D19">
        <w:t>lişkin</w:t>
      </w:r>
      <w:r w:rsidR="00BD592F">
        <w:t>,</w:t>
      </w:r>
      <w:r w:rsidR="002F1D19">
        <w:t xml:space="preserve"> Hukuk ve Tarifeler Komisyon Raporu</w:t>
      </w:r>
      <w:r w:rsidR="00FC3235">
        <w:t xml:space="preserve"> </w:t>
      </w:r>
      <w:r w:rsidR="00FC3235" w:rsidRPr="00853312">
        <w:t xml:space="preserve">“Özellikle belediyemizde çalışan </w:t>
      </w:r>
      <w:r w:rsidR="00BD592F">
        <w:t>personellerin</w:t>
      </w:r>
      <w:r w:rsidR="00FC3235" w:rsidRPr="00853312">
        <w:t xml:space="preserve"> işe gelip giderken kullandıkları kartlarla ilgili alınmış olan bir karar olduğunu, Sayıştay Denetim Raporuna göre bu kartlar</w:t>
      </w:r>
      <w:r w:rsidR="00FC3235">
        <w:t xml:space="preserve"> </w:t>
      </w:r>
      <w:r w:rsidR="00FC3235" w:rsidRPr="00853312">
        <w:t xml:space="preserve">ile yapılan aktarmaların yasal ve hukuki olmadığı yönünde Sayıştay’ın bir tespiti olduğunu, Sayıştay’ın bu tespitine </w:t>
      </w:r>
      <w:r w:rsidR="00BD592F">
        <w:t xml:space="preserve">istinaden, </w:t>
      </w:r>
      <w:r w:rsidR="00FC3235" w:rsidRPr="00853312">
        <w:t>tavsiye kararı olarak da bir sonraki toplu sözleşmelerde bunun giderilmesi konusundaki tavsiyeleri beyan ederek, bu şekilde kabulünü istiyoruz.”</w:t>
      </w:r>
      <w:r w:rsidR="00FC3235">
        <w:t xml:space="preserve"> tarzında </w:t>
      </w:r>
      <w:r w:rsidR="00BD592F">
        <w:t>ilavesi ile</w:t>
      </w:r>
      <w:r w:rsidR="00FC3235">
        <w:t xml:space="preserve"> </w:t>
      </w:r>
      <w:r w:rsidR="0090590D">
        <w:rPr>
          <w:color w:val="000000" w:themeColor="text1"/>
          <w:spacing w:val="1"/>
        </w:rPr>
        <w:t xml:space="preserve">oylanarak </w:t>
      </w:r>
      <w:r w:rsidR="00E30E1E" w:rsidRPr="00EE7B7B">
        <w:t>oybirliği ile kabul edildi.</w:t>
      </w:r>
    </w:p>
    <w:p w:rsidR="00BA3D7F" w:rsidRDefault="00BA3D7F" w:rsidP="00BA3D7F">
      <w:pPr>
        <w:ind w:firstLine="708"/>
        <w:jc w:val="both"/>
      </w:pPr>
    </w:p>
    <w:p w:rsidR="0093221C" w:rsidRDefault="0093221C" w:rsidP="00BA3D7F">
      <w:pPr>
        <w:ind w:firstLine="708"/>
        <w:jc w:val="both"/>
      </w:pPr>
    </w:p>
    <w:p w:rsidR="0093221C" w:rsidRDefault="0093221C" w:rsidP="00BA3D7F">
      <w:pPr>
        <w:ind w:firstLine="708"/>
        <w:jc w:val="both"/>
      </w:pPr>
    </w:p>
    <w:p w:rsidR="0093221C" w:rsidRDefault="0093221C" w:rsidP="00BA3D7F">
      <w:pPr>
        <w:ind w:firstLine="708"/>
        <w:jc w:val="both"/>
      </w:pPr>
    </w:p>
    <w:p w:rsidR="00037382" w:rsidRDefault="00037382" w:rsidP="00BA3D7F">
      <w:pPr>
        <w:ind w:firstLine="708"/>
        <w:jc w:val="both"/>
      </w:pPr>
    </w:p>
    <w:p w:rsidR="002F1D19" w:rsidRDefault="002F1D19" w:rsidP="00B5717F">
      <w:pPr>
        <w:pStyle w:val="GvdeMetni"/>
        <w:tabs>
          <w:tab w:val="left" w:pos="9356"/>
        </w:tabs>
        <w:ind w:firstLine="709"/>
        <w:contextualSpacing/>
      </w:pPr>
    </w:p>
    <w:p w:rsidR="0090590D" w:rsidRPr="0055051B" w:rsidRDefault="0090590D" w:rsidP="00EE7B7B">
      <w:pPr>
        <w:pStyle w:val="GvdeMetni"/>
        <w:tabs>
          <w:tab w:val="left" w:pos="9356"/>
        </w:tabs>
        <w:ind w:firstLine="709"/>
        <w:contextualSpacing/>
      </w:pPr>
    </w:p>
    <w:tbl>
      <w:tblPr>
        <w:tblW w:w="9356" w:type="dxa"/>
        <w:jc w:val="center"/>
        <w:tblLook w:val="04A0"/>
      </w:tblPr>
      <w:tblGrid>
        <w:gridCol w:w="3147"/>
        <w:gridCol w:w="3147"/>
        <w:gridCol w:w="3062"/>
      </w:tblGrid>
      <w:tr w:rsidR="00771EB7" w:rsidRPr="0055051B" w:rsidTr="00771EB7">
        <w:trPr>
          <w:trHeight w:val="594"/>
          <w:jc w:val="center"/>
        </w:trPr>
        <w:tc>
          <w:tcPr>
            <w:tcW w:w="3147" w:type="dxa"/>
            <w:hideMark/>
          </w:tcPr>
          <w:p w:rsidR="0090590D" w:rsidRDefault="0090590D">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Fatih ÜNAL</w:t>
            </w:r>
          </w:p>
          <w:p w:rsidR="00771EB7" w:rsidRPr="0055051B" w:rsidRDefault="00771EB7">
            <w:pPr>
              <w:autoSpaceDE w:val="0"/>
              <w:autoSpaceDN w:val="0"/>
              <w:adjustRightInd w:val="0"/>
              <w:jc w:val="center"/>
              <w:rPr>
                <w:color w:val="000000"/>
              </w:rPr>
            </w:pPr>
            <w:r w:rsidRPr="0055051B">
              <w:rPr>
                <w:color w:val="000000"/>
              </w:rPr>
              <w:t>Meclis 1.Başkan V.</w:t>
            </w:r>
          </w:p>
        </w:tc>
        <w:tc>
          <w:tcPr>
            <w:tcW w:w="3147"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Ali YILDIRIM</w:t>
            </w:r>
          </w:p>
          <w:p w:rsidR="00771EB7" w:rsidRPr="0055051B" w:rsidRDefault="00771EB7">
            <w:pPr>
              <w:tabs>
                <w:tab w:val="left" w:pos="3268"/>
              </w:tabs>
              <w:jc w:val="center"/>
              <w:rPr>
                <w:color w:val="000000"/>
              </w:rPr>
            </w:pPr>
            <w:r w:rsidRPr="0055051B">
              <w:rPr>
                <w:color w:val="000000"/>
              </w:rPr>
              <w:t xml:space="preserve">Divan </w:t>
            </w:r>
            <w:proofErr w:type="gramStart"/>
            <w:r w:rsidRPr="0055051B">
              <w:rPr>
                <w:color w:val="000000"/>
              </w:rPr>
              <w:t>Katibi</w:t>
            </w:r>
            <w:proofErr w:type="gramEnd"/>
          </w:p>
        </w:tc>
        <w:tc>
          <w:tcPr>
            <w:tcW w:w="3062" w:type="dxa"/>
            <w:vAlign w:val="center"/>
            <w:hideMark/>
          </w:tcPr>
          <w:p w:rsidR="002F1D19" w:rsidRDefault="002F1D19">
            <w:pPr>
              <w:autoSpaceDE w:val="0"/>
              <w:autoSpaceDN w:val="0"/>
              <w:adjustRightInd w:val="0"/>
              <w:jc w:val="center"/>
              <w:rPr>
                <w:color w:val="000000"/>
              </w:rPr>
            </w:pPr>
          </w:p>
          <w:p w:rsidR="00771EB7" w:rsidRPr="0055051B" w:rsidRDefault="00771EB7">
            <w:pPr>
              <w:autoSpaceDE w:val="0"/>
              <w:autoSpaceDN w:val="0"/>
              <w:adjustRightInd w:val="0"/>
              <w:jc w:val="center"/>
              <w:rPr>
                <w:color w:val="000000"/>
              </w:rPr>
            </w:pPr>
            <w:r w:rsidRPr="0055051B">
              <w:rPr>
                <w:color w:val="000000"/>
              </w:rPr>
              <w:t>Naci BAYANLI</w:t>
            </w:r>
          </w:p>
          <w:p w:rsidR="00771EB7" w:rsidRPr="0055051B" w:rsidRDefault="00771EB7">
            <w:pPr>
              <w:autoSpaceDE w:val="0"/>
              <w:autoSpaceDN w:val="0"/>
              <w:adjustRightInd w:val="0"/>
              <w:jc w:val="center"/>
              <w:rPr>
                <w:color w:val="000000"/>
              </w:rPr>
            </w:pPr>
            <w:r w:rsidRPr="0055051B">
              <w:rPr>
                <w:color w:val="000000"/>
              </w:rPr>
              <w:t xml:space="preserve">Divan </w:t>
            </w:r>
            <w:proofErr w:type="gramStart"/>
            <w:r w:rsidRPr="0055051B">
              <w:rPr>
                <w:color w:val="000000"/>
              </w:rPr>
              <w:t>Katibi</w:t>
            </w:r>
            <w:proofErr w:type="gramEnd"/>
          </w:p>
        </w:tc>
      </w:tr>
    </w:tbl>
    <w:p w:rsidR="00F056A8" w:rsidRDefault="00F056A8"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EE7B7B">
      <w:pPr>
        <w:jc w:val="both"/>
      </w:pPr>
    </w:p>
    <w:p w:rsidR="00D72D9C" w:rsidRDefault="00D72D9C" w:rsidP="00D72D9C">
      <w:pPr>
        <w:jc w:val="center"/>
      </w:pPr>
    </w:p>
    <w:p w:rsidR="00D72D9C" w:rsidRPr="002630F5" w:rsidRDefault="00D72D9C" w:rsidP="00D72D9C">
      <w:pPr>
        <w:jc w:val="center"/>
      </w:pPr>
      <w:r w:rsidRPr="002630F5">
        <w:lastRenderedPageBreak/>
        <w:t>T.C.</w:t>
      </w:r>
    </w:p>
    <w:p w:rsidR="00D72D9C" w:rsidRDefault="00D72D9C" w:rsidP="00D72D9C">
      <w:pPr>
        <w:jc w:val="center"/>
      </w:pPr>
      <w:r w:rsidRPr="002630F5">
        <w:t>ANKARA BÜYÜKŞEHİR BELEDİYE MECLİSİ</w:t>
      </w:r>
    </w:p>
    <w:p w:rsidR="00D72D9C" w:rsidRDefault="00D72D9C" w:rsidP="00D72D9C">
      <w:pPr>
        <w:jc w:val="center"/>
      </w:pPr>
      <w:r>
        <w:t>Hukuk ve Tarifeler Komisyonu</w:t>
      </w:r>
      <w:r w:rsidRPr="002630F5">
        <w:t xml:space="preserve"> Raporu</w:t>
      </w:r>
    </w:p>
    <w:p w:rsidR="00D72D9C" w:rsidRDefault="00D72D9C" w:rsidP="00D72D9C"/>
    <w:p w:rsidR="00D72D9C" w:rsidRDefault="00D72D9C" w:rsidP="00D72D9C">
      <w:pPr>
        <w:jc w:val="both"/>
      </w:pPr>
      <w:r w:rsidRPr="002630F5">
        <w:t>Rapor No:</w:t>
      </w:r>
      <w:r>
        <w:t xml:space="preserve"> 33 </w:t>
      </w:r>
      <w:r>
        <w:tab/>
      </w:r>
      <w:r w:rsidRPr="002630F5">
        <w:tab/>
      </w:r>
      <w:r w:rsidRPr="002630F5">
        <w:tab/>
      </w:r>
      <w:r w:rsidRPr="002630F5">
        <w:tab/>
      </w:r>
      <w:r w:rsidRPr="002630F5">
        <w:tab/>
      </w:r>
      <w:r w:rsidRPr="002630F5">
        <w:tab/>
      </w:r>
      <w:r>
        <w:tab/>
      </w:r>
      <w:r>
        <w:tab/>
        <w:t xml:space="preserve">                          31.05.2021</w:t>
      </w:r>
    </w:p>
    <w:p w:rsidR="00D72D9C" w:rsidRDefault="00D72D9C" w:rsidP="00D72D9C">
      <w:pPr>
        <w:jc w:val="both"/>
      </w:pPr>
    </w:p>
    <w:p w:rsidR="00D72D9C" w:rsidRDefault="00D72D9C" w:rsidP="00D72D9C">
      <w:pPr>
        <w:tabs>
          <w:tab w:val="left" w:pos="9639"/>
        </w:tabs>
        <w:jc w:val="both"/>
      </w:pPr>
    </w:p>
    <w:p w:rsidR="00D72D9C" w:rsidRDefault="00D72D9C" w:rsidP="00D72D9C">
      <w:pPr>
        <w:jc w:val="center"/>
      </w:pPr>
      <w:r w:rsidRPr="002630F5">
        <w:t>BÜYÜKŞEHİR BELEDİYE MECLİSİ BAŞKANLIĞINA</w:t>
      </w:r>
    </w:p>
    <w:p w:rsidR="00D72D9C" w:rsidRDefault="00D72D9C" w:rsidP="00D72D9C">
      <w:pPr>
        <w:jc w:val="center"/>
      </w:pPr>
    </w:p>
    <w:p w:rsidR="00D72D9C" w:rsidRDefault="00D72D9C" w:rsidP="00D72D9C">
      <w:pPr>
        <w:jc w:val="center"/>
      </w:pPr>
    </w:p>
    <w:p w:rsidR="00D72D9C" w:rsidRPr="0030460C" w:rsidRDefault="00D72D9C" w:rsidP="00D72D9C">
      <w:pPr>
        <w:ind w:right="284"/>
        <w:jc w:val="both"/>
      </w:pPr>
    </w:p>
    <w:p w:rsidR="00D72D9C" w:rsidRDefault="00D72D9C" w:rsidP="00D72D9C">
      <w:pPr>
        <w:pStyle w:val="GvdeMetni"/>
        <w:tabs>
          <w:tab w:val="left" w:pos="9356"/>
        </w:tabs>
        <w:ind w:firstLine="709"/>
        <w:contextualSpacing/>
        <w:rPr>
          <w:color w:val="000000" w:themeColor="text1"/>
        </w:rPr>
      </w:pPr>
      <w:r w:rsidRPr="00CC50D9">
        <w:t xml:space="preserve">Sayıştay Raporu doğrultusunda Büyükşehir Belediyesi, ASKİ ve EGO Genel Müdürlüğündeki memur, işçi personel ile belediye iştiraklerinde çalışan personelin kullandıkları kartlardan bakiye aktarımı yapılmamasına </w:t>
      </w:r>
      <w:r>
        <w:t xml:space="preserve">ilişkin Hukuk ve Tarifeler Komisyonunun </w:t>
      </w:r>
      <w:r>
        <w:rPr>
          <w:color w:val="000000" w:themeColor="text1"/>
        </w:rPr>
        <w:t xml:space="preserve">19.04.2021 tarihli ve 06 sayılı raporu ile </w:t>
      </w:r>
      <w:r>
        <w:t>komisyonumuza yeniden havale edilen dosya incelendi.</w:t>
      </w:r>
    </w:p>
    <w:p w:rsidR="00D72D9C" w:rsidRDefault="00D72D9C" w:rsidP="00D72D9C">
      <w:pPr>
        <w:pStyle w:val="GvdeMetni"/>
        <w:tabs>
          <w:tab w:val="left" w:pos="9356"/>
        </w:tabs>
        <w:ind w:right="284" w:firstLine="709"/>
        <w:contextualSpacing/>
      </w:pPr>
    </w:p>
    <w:p w:rsidR="00D72D9C" w:rsidRPr="00CC50D9" w:rsidRDefault="00D72D9C" w:rsidP="00D72D9C">
      <w:pPr>
        <w:pStyle w:val="GvdeMetni"/>
        <w:tabs>
          <w:tab w:val="left" w:pos="9356"/>
        </w:tabs>
        <w:ind w:firstLine="709"/>
        <w:contextualSpacing/>
      </w:pPr>
      <w:r w:rsidRPr="006F19F0">
        <w:t xml:space="preserve">Komisyonumuzca yapılan incelemeler neticesinde; </w:t>
      </w:r>
      <w:r w:rsidRPr="00CC50D9">
        <w:t>Ankara Büyükşehir Belediyesi, ASKİ ve EGO Genel Müdürlüğü bünyesinde çalışan memur ve işçi personel ile Belediyemiz iştirakleri olan şirketlerde çalışanlara, işe geliş-gidişlerinde toplu taşıma araçlarım kullanmaları amacıyla kişiselleştirilmiş Ankara Kartlarına belli miktarlarda yükleme yapılmaktadır. Ankara Büyükşehir Belediye Meclisi'nin 15.12.2017 tarih ve 2448 sayılı Kararı'yla aylık en fazla üç farklı karta 90 biniş tutarım geçmeyecek şekilde karttan karta bakiye aktarma yapılabilmesine yönelik karar alınmıştır. Bu tarihten sonrada işe geliş-gidişlerinde kullanılmak üzere yapılan yüklemeler, başka kartlara aktarılmak suretiyle satılmış ve hak sahibi personel dışındaki kişilerce kullanıldığı;</w:t>
      </w:r>
    </w:p>
    <w:p w:rsidR="00D72D9C" w:rsidRPr="00CC50D9" w:rsidRDefault="00D72D9C" w:rsidP="00D72D9C">
      <w:pPr>
        <w:pStyle w:val="Gvdemetni3"/>
        <w:shd w:val="clear" w:color="auto" w:fill="auto"/>
        <w:spacing w:line="240" w:lineRule="auto"/>
        <w:ind w:firstLine="709"/>
        <w:jc w:val="both"/>
        <w:rPr>
          <w:sz w:val="24"/>
          <w:szCs w:val="24"/>
        </w:rPr>
      </w:pPr>
    </w:p>
    <w:p w:rsidR="00D72D9C" w:rsidRPr="00CC50D9" w:rsidRDefault="00D72D9C" w:rsidP="00D72D9C">
      <w:pPr>
        <w:pStyle w:val="Gvdemetni3"/>
        <w:shd w:val="clear" w:color="auto" w:fill="auto"/>
        <w:spacing w:line="240" w:lineRule="auto"/>
        <w:ind w:firstLine="709"/>
        <w:jc w:val="both"/>
        <w:rPr>
          <w:sz w:val="24"/>
          <w:szCs w:val="24"/>
        </w:rPr>
      </w:pPr>
      <w:r w:rsidRPr="00CC50D9">
        <w:rPr>
          <w:sz w:val="24"/>
          <w:szCs w:val="24"/>
        </w:rPr>
        <w:t>Ankara Büyükşehir Belediye Başkanlığı'nca, 30.12.2020 tarih ve 98279 sayılı yazı ile Ankara Büyükşehir Belediyesi 2019 yılı Sayıştay Denetim Raporunun Bulgu 21'inci maddesinde yer alan personele ait toplu taşıma kartlarına yapılan yüklemelerin amacına aykırı kullanılması konusunda Sayıştay Başkanlığının önerileri doğrultusunda iş ve işlemlerin yapılması istenildiği;</w:t>
      </w:r>
    </w:p>
    <w:p w:rsidR="00D72D9C" w:rsidRPr="00CC50D9" w:rsidRDefault="00D72D9C" w:rsidP="00D72D9C">
      <w:pPr>
        <w:pStyle w:val="Gvdemetni3"/>
        <w:shd w:val="clear" w:color="auto" w:fill="auto"/>
        <w:spacing w:line="240" w:lineRule="auto"/>
        <w:ind w:firstLine="709"/>
        <w:jc w:val="both"/>
        <w:rPr>
          <w:sz w:val="24"/>
          <w:szCs w:val="24"/>
        </w:rPr>
      </w:pPr>
    </w:p>
    <w:p w:rsidR="00D72D9C" w:rsidRPr="00CC50D9" w:rsidRDefault="00D72D9C" w:rsidP="00D72D9C">
      <w:pPr>
        <w:pStyle w:val="Gvdemetni3"/>
        <w:shd w:val="clear" w:color="auto" w:fill="auto"/>
        <w:spacing w:line="240" w:lineRule="auto"/>
        <w:ind w:firstLine="709"/>
        <w:jc w:val="both"/>
        <w:rPr>
          <w:sz w:val="24"/>
          <w:szCs w:val="24"/>
        </w:rPr>
      </w:pPr>
      <w:proofErr w:type="gramStart"/>
      <w:r w:rsidRPr="00CC50D9">
        <w:rPr>
          <w:sz w:val="24"/>
          <w:szCs w:val="24"/>
        </w:rPr>
        <w:t>Kuruluşumuza gönderilen 2019 yılı Ankara Büyükşehir Belediye Başkanlığı Sayıştay Başkanlığı Denetim Raporunun</w:t>
      </w:r>
      <w:r w:rsidRPr="00CC50D9">
        <w:rPr>
          <w:rStyle w:val="GvdemetniKaln"/>
          <w:sz w:val="24"/>
          <w:szCs w:val="24"/>
        </w:rPr>
        <w:t xml:space="preserve"> </w:t>
      </w:r>
      <w:r w:rsidRPr="00CC50D9">
        <w:rPr>
          <w:rStyle w:val="GvdemetniKaln"/>
          <w:i/>
          <w:sz w:val="24"/>
          <w:szCs w:val="24"/>
        </w:rPr>
        <w:t>"Personele ait toplu taşıma kartlarına yapılan yüklemelerin amacına aykırı kullanılması"</w:t>
      </w:r>
      <w:r w:rsidRPr="00CC50D9">
        <w:rPr>
          <w:sz w:val="24"/>
          <w:szCs w:val="24"/>
        </w:rPr>
        <w:t xml:space="preserve"> başlıklı Bulgu 21 'inci maddesinde, 2019 yılı Eylül ayı bazında yapılan inceleme neticesinde, Büyükşehir Belediyesinde çalışan memurlara, işe geliş-gidişlerinde toplu taşıma araçlarım kullanmaları amacıyla yüklenen biniş haklarından yalnızca 189.016,30 TL değerindeki hakkın doğrudan kart sahibi tarafından kullanıldığı ve geriye kalan 983.792,00 TL değerindeki hakkın ise bahsi geçen amaca aykırı olarak aktarma yöntemi ile başka kişilere kullandırıldığının tespit edildiği ve böylece örnek olarak seçilen bir aylık dönemde yaklaşık %80 oranında amaç dışı kullanım olduğunun görüldüğü belirtilerek, memur personelin toplu taşıma kartlarına yüklenen aylık 90 biniş hakkı karşılığı parasal değerin, meclis kararlarında belirtilen amaçlar dışında kullanılmasını önlemek amacıyla üçüncü kişilere aktarılmasının önlenmesinin gerektiği belirtildiği;</w:t>
      </w:r>
      <w:proofErr w:type="gramEnd"/>
    </w:p>
    <w:p w:rsidR="00D72D9C" w:rsidRPr="00CC50D9"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r w:rsidRPr="00CC50D9">
        <w:rPr>
          <w:sz w:val="24"/>
          <w:szCs w:val="24"/>
        </w:rPr>
        <w:t>Diğer yandan 4736 sayılı Kamu Kurum ve Kuruluşlarının ürettikleri Mal ve Hizmet tarifeleri ile Bazı kanunlarda Değişiklik yapılması Hakkında kanun ile belediyeler tarafından yapılan toplu taşıma hizmetlerinden ücretsiz ya da indirimli ücretli yararlanabilecekleri tadat edilmek suretiyle sayılmıştır. Personele işe geliş ve gidişleri için verilen biniş haklarının bir kısmının ya da tamamının başkaları tarafından kullanılması, dolaylı olarak anılan mevzuata da aykırılık oluşturduğu;</w:t>
      </w: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Pr="002630F5" w:rsidRDefault="00D72D9C" w:rsidP="00D72D9C">
      <w:pPr>
        <w:jc w:val="center"/>
      </w:pPr>
      <w:r w:rsidRPr="002630F5">
        <w:t>T.C.</w:t>
      </w:r>
    </w:p>
    <w:p w:rsidR="00D72D9C" w:rsidRDefault="00D72D9C" w:rsidP="00D72D9C">
      <w:pPr>
        <w:jc w:val="center"/>
      </w:pPr>
      <w:r w:rsidRPr="002630F5">
        <w:t>ANKARA BÜYÜKŞEHİR BELEDİYE MECLİSİ</w:t>
      </w:r>
    </w:p>
    <w:p w:rsidR="00D72D9C" w:rsidRDefault="00D72D9C" w:rsidP="00D72D9C">
      <w:pPr>
        <w:jc w:val="center"/>
      </w:pPr>
      <w:r>
        <w:t>Hukuk ve Tarifeler Komisyonu</w:t>
      </w:r>
      <w:r w:rsidRPr="002630F5">
        <w:t xml:space="preserve"> Raporu</w:t>
      </w:r>
    </w:p>
    <w:p w:rsidR="00D72D9C" w:rsidRDefault="00D72D9C" w:rsidP="00D72D9C">
      <w:pPr>
        <w:jc w:val="center"/>
      </w:pPr>
    </w:p>
    <w:p w:rsidR="00D72D9C" w:rsidRDefault="00D72D9C" w:rsidP="00D72D9C"/>
    <w:p w:rsidR="00D72D9C" w:rsidRDefault="00D72D9C" w:rsidP="00D72D9C">
      <w:pPr>
        <w:jc w:val="both"/>
      </w:pPr>
      <w:r w:rsidRPr="002630F5">
        <w:t>Rapor No:</w:t>
      </w:r>
      <w:r>
        <w:t xml:space="preserve"> 33</w:t>
      </w:r>
      <w:r w:rsidRPr="002630F5">
        <w:tab/>
      </w:r>
      <w:r w:rsidRPr="002630F5">
        <w:tab/>
      </w:r>
      <w:r w:rsidRPr="002630F5">
        <w:tab/>
      </w:r>
      <w:r w:rsidRPr="002630F5">
        <w:tab/>
      </w:r>
      <w:r w:rsidRPr="002630F5">
        <w:tab/>
      </w:r>
      <w:r w:rsidRPr="002630F5">
        <w:tab/>
      </w:r>
      <w:r>
        <w:tab/>
      </w:r>
      <w:r>
        <w:tab/>
        <w:t xml:space="preserve">                      31.05.2021</w:t>
      </w:r>
    </w:p>
    <w:p w:rsidR="00D72D9C" w:rsidRDefault="00D72D9C" w:rsidP="00D72D9C">
      <w:pPr>
        <w:pStyle w:val="Gvdemetni3"/>
        <w:shd w:val="clear" w:color="auto" w:fill="auto"/>
        <w:spacing w:line="240" w:lineRule="auto"/>
        <w:jc w:val="center"/>
        <w:rPr>
          <w:sz w:val="24"/>
          <w:szCs w:val="24"/>
        </w:rPr>
      </w:pPr>
    </w:p>
    <w:p w:rsidR="00D72D9C" w:rsidRDefault="00D72D9C" w:rsidP="00D72D9C">
      <w:pPr>
        <w:pStyle w:val="Gvdemetni3"/>
        <w:shd w:val="clear" w:color="auto" w:fill="auto"/>
        <w:spacing w:line="240" w:lineRule="auto"/>
        <w:jc w:val="center"/>
        <w:rPr>
          <w:sz w:val="24"/>
          <w:szCs w:val="24"/>
        </w:rPr>
      </w:pPr>
    </w:p>
    <w:p w:rsidR="00D72D9C" w:rsidRDefault="00D72D9C" w:rsidP="00D72D9C">
      <w:pPr>
        <w:pStyle w:val="Gvdemetni3"/>
        <w:shd w:val="clear" w:color="auto" w:fill="auto"/>
        <w:spacing w:line="240" w:lineRule="auto"/>
        <w:jc w:val="center"/>
        <w:rPr>
          <w:sz w:val="24"/>
          <w:szCs w:val="24"/>
        </w:rPr>
      </w:pPr>
    </w:p>
    <w:p w:rsidR="00D72D9C" w:rsidRDefault="00D72D9C" w:rsidP="00D72D9C">
      <w:pPr>
        <w:pStyle w:val="Gvdemetni3"/>
        <w:shd w:val="clear" w:color="auto" w:fill="auto"/>
        <w:spacing w:line="240" w:lineRule="auto"/>
        <w:jc w:val="center"/>
        <w:rPr>
          <w:sz w:val="24"/>
          <w:szCs w:val="24"/>
        </w:rPr>
      </w:pPr>
      <w:r>
        <w:rPr>
          <w:sz w:val="24"/>
          <w:szCs w:val="24"/>
        </w:rPr>
        <w:t>-2-</w:t>
      </w:r>
    </w:p>
    <w:p w:rsidR="00D72D9C" w:rsidRDefault="00D72D9C" w:rsidP="00D72D9C">
      <w:pPr>
        <w:pStyle w:val="Gvdemetni3"/>
        <w:shd w:val="clear" w:color="auto" w:fill="auto"/>
        <w:spacing w:line="240" w:lineRule="auto"/>
        <w:ind w:firstLine="709"/>
        <w:jc w:val="both"/>
        <w:rPr>
          <w:sz w:val="24"/>
          <w:szCs w:val="24"/>
        </w:rPr>
      </w:pPr>
    </w:p>
    <w:p w:rsidR="00D72D9C" w:rsidRDefault="00D72D9C" w:rsidP="00D72D9C">
      <w:pPr>
        <w:pStyle w:val="Gvdemetni3"/>
        <w:shd w:val="clear" w:color="auto" w:fill="auto"/>
        <w:spacing w:line="240" w:lineRule="auto"/>
        <w:ind w:firstLine="709"/>
        <w:jc w:val="both"/>
        <w:rPr>
          <w:sz w:val="24"/>
          <w:szCs w:val="24"/>
        </w:rPr>
      </w:pPr>
    </w:p>
    <w:p w:rsidR="00D72D9C" w:rsidRPr="00CC50D9" w:rsidRDefault="00D72D9C" w:rsidP="00D72D9C">
      <w:pPr>
        <w:pStyle w:val="Gvdemetni3"/>
        <w:shd w:val="clear" w:color="auto" w:fill="auto"/>
        <w:spacing w:line="240" w:lineRule="auto"/>
        <w:ind w:firstLine="709"/>
        <w:jc w:val="both"/>
        <w:rPr>
          <w:sz w:val="24"/>
          <w:szCs w:val="24"/>
        </w:rPr>
      </w:pPr>
    </w:p>
    <w:p w:rsidR="00D72D9C" w:rsidRPr="00CC50D9" w:rsidRDefault="00D72D9C" w:rsidP="00D72D9C">
      <w:pPr>
        <w:pStyle w:val="Gvdemetni3"/>
        <w:shd w:val="clear" w:color="auto" w:fill="auto"/>
        <w:spacing w:line="240" w:lineRule="auto"/>
        <w:ind w:firstLine="709"/>
        <w:jc w:val="both"/>
        <w:rPr>
          <w:sz w:val="24"/>
          <w:szCs w:val="24"/>
        </w:rPr>
      </w:pPr>
    </w:p>
    <w:p w:rsidR="00D72D9C" w:rsidRPr="009A04E2" w:rsidRDefault="00D72D9C" w:rsidP="00D72D9C">
      <w:pPr>
        <w:autoSpaceDE w:val="0"/>
        <w:autoSpaceDN w:val="0"/>
        <w:adjustRightInd w:val="0"/>
        <w:ind w:firstLine="708"/>
        <w:jc w:val="both"/>
      </w:pPr>
      <w:proofErr w:type="gramStart"/>
      <w:r w:rsidRPr="00CC50D9">
        <w:t>Sayıştay Raporundaki tespitler ve yaşanan olumsuzlukların ortadan kaldırılması için Ankara Büyükşehir Belediyesi, ASKİ ve EGO Genel Müdürlüğü personeli ile Belediyemiz iştirakleri olan şirket çalışanlarına işe geliş-gidişleri için verilen personel Ankara</w:t>
      </w:r>
      <w:r>
        <w:t xml:space="preserve"> </w:t>
      </w:r>
      <w:r w:rsidRPr="00CC50D9">
        <w:t>ka</w:t>
      </w:r>
      <w:r>
        <w:t>rtların</w:t>
      </w:r>
      <w:r w:rsidRPr="00CC50D9">
        <w:t>dan başka kartlara bakiye aktarımı yapılmaması ve bu konuda düzenleme yapmak üzere EGO Genel Müdürlüğü'nün yetkilendirilmesi</w:t>
      </w:r>
      <w:r>
        <w:t xml:space="preserve"> </w:t>
      </w:r>
      <w:r w:rsidRPr="009A04E2">
        <w:t>komisyonumuzca uygun görülmüştür.</w:t>
      </w:r>
      <w:proofErr w:type="gramEnd"/>
    </w:p>
    <w:p w:rsidR="00D72D9C" w:rsidRPr="009A04E2" w:rsidRDefault="00D72D9C" w:rsidP="00D72D9C">
      <w:pPr>
        <w:pStyle w:val="Gvdemetni3"/>
        <w:shd w:val="clear" w:color="auto" w:fill="auto"/>
        <w:spacing w:line="240" w:lineRule="auto"/>
        <w:ind w:firstLine="709"/>
        <w:jc w:val="both"/>
        <w:rPr>
          <w:sz w:val="24"/>
          <w:szCs w:val="24"/>
        </w:rPr>
      </w:pPr>
    </w:p>
    <w:p w:rsidR="00D72D9C" w:rsidRPr="009A04E2" w:rsidRDefault="00D72D9C" w:rsidP="00D72D9C">
      <w:pPr>
        <w:tabs>
          <w:tab w:val="left" w:pos="709"/>
          <w:tab w:val="left" w:pos="3828"/>
          <w:tab w:val="left" w:pos="4678"/>
          <w:tab w:val="left" w:pos="5387"/>
          <w:tab w:val="left" w:pos="9356"/>
        </w:tabs>
        <w:ind w:right="284" w:firstLine="709"/>
        <w:contextualSpacing/>
        <w:jc w:val="both"/>
      </w:pPr>
      <w:r w:rsidRPr="009A04E2">
        <w:t>Raporumuz Büyükşehir Belediye Meclisinin onayına arz olunur.</w:t>
      </w:r>
    </w:p>
    <w:p w:rsidR="00D72D9C" w:rsidRDefault="00D72D9C" w:rsidP="00D72D9C">
      <w:pPr>
        <w:tabs>
          <w:tab w:val="left" w:pos="709"/>
          <w:tab w:val="left" w:pos="3828"/>
          <w:tab w:val="left" w:pos="4678"/>
          <w:tab w:val="left" w:pos="5387"/>
          <w:tab w:val="left" w:pos="9356"/>
        </w:tabs>
        <w:contextualSpacing/>
        <w:jc w:val="both"/>
      </w:pPr>
    </w:p>
    <w:p w:rsidR="00D72D9C" w:rsidRDefault="00D72D9C" w:rsidP="00D72D9C">
      <w:pPr>
        <w:tabs>
          <w:tab w:val="left" w:pos="709"/>
          <w:tab w:val="left" w:pos="3828"/>
          <w:tab w:val="left" w:pos="4678"/>
          <w:tab w:val="left" w:pos="5387"/>
          <w:tab w:val="left" w:pos="9356"/>
        </w:tabs>
        <w:contextualSpacing/>
        <w:jc w:val="both"/>
      </w:pPr>
    </w:p>
    <w:p w:rsidR="00D72D9C" w:rsidRDefault="00D72D9C" w:rsidP="00D72D9C">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D72D9C" w:rsidRPr="00663CA6" w:rsidTr="00247A55">
        <w:trPr>
          <w:trHeight w:val="1214"/>
        </w:trPr>
        <w:tc>
          <w:tcPr>
            <w:tcW w:w="3105" w:type="dxa"/>
            <w:shd w:val="clear" w:color="auto" w:fill="FFFFFF" w:themeFill="background1"/>
          </w:tcPr>
          <w:p w:rsidR="00D72D9C" w:rsidRPr="00663CA6" w:rsidRDefault="00D72D9C" w:rsidP="00247A55">
            <w:pPr>
              <w:jc w:val="center"/>
            </w:pPr>
            <w:r w:rsidRPr="00663CA6">
              <w:t>Ercan KINACI</w:t>
            </w:r>
          </w:p>
          <w:p w:rsidR="00D72D9C" w:rsidRPr="00663CA6" w:rsidRDefault="00D72D9C" w:rsidP="00247A55">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105" w:type="dxa"/>
            <w:shd w:val="clear" w:color="auto" w:fill="FFFFFF" w:themeFill="background1"/>
          </w:tcPr>
          <w:p w:rsidR="00D72D9C" w:rsidRPr="00663CA6" w:rsidRDefault="00D72D9C" w:rsidP="00247A55">
            <w:pPr>
              <w:jc w:val="center"/>
            </w:pPr>
            <w:r w:rsidRPr="00663CA6">
              <w:t>Abdullah Emin TEKİN</w:t>
            </w:r>
          </w:p>
          <w:p w:rsidR="00D72D9C" w:rsidRPr="00663CA6" w:rsidRDefault="00D72D9C" w:rsidP="00247A55">
            <w:pPr>
              <w:jc w:val="center"/>
            </w:pPr>
            <w:r w:rsidRPr="00663CA6">
              <w:t>Başkan Vekili</w:t>
            </w:r>
          </w:p>
        </w:tc>
        <w:tc>
          <w:tcPr>
            <w:tcW w:w="3108" w:type="dxa"/>
            <w:shd w:val="clear" w:color="auto" w:fill="FFFFFF" w:themeFill="background1"/>
          </w:tcPr>
          <w:p w:rsidR="00D72D9C" w:rsidRPr="00663CA6" w:rsidRDefault="00D72D9C" w:rsidP="00247A55">
            <w:pPr>
              <w:jc w:val="center"/>
            </w:pPr>
            <w:proofErr w:type="spellStart"/>
            <w:r w:rsidRPr="00663CA6">
              <w:t>Aysun</w:t>
            </w:r>
            <w:proofErr w:type="spellEnd"/>
            <w:r w:rsidRPr="00663CA6">
              <w:t xml:space="preserve"> Liman YAŞACAN</w:t>
            </w:r>
          </w:p>
          <w:p w:rsidR="00D72D9C" w:rsidRPr="00663CA6" w:rsidRDefault="00D72D9C" w:rsidP="00247A55">
            <w:pPr>
              <w:jc w:val="center"/>
            </w:pPr>
            <w:r w:rsidRPr="00663CA6">
              <w:t>Üye</w:t>
            </w:r>
          </w:p>
        </w:tc>
      </w:tr>
      <w:tr w:rsidR="00D72D9C" w:rsidRPr="00663CA6" w:rsidTr="00247A55">
        <w:trPr>
          <w:trHeight w:val="1214"/>
        </w:trPr>
        <w:tc>
          <w:tcPr>
            <w:tcW w:w="3105" w:type="dxa"/>
            <w:shd w:val="clear" w:color="auto" w:fill="FFFFFF" w:themeFill="background1"/>
            <w:vAlign w:val="center"/>
          </w:tcPr>
          <w:p w:rsidR="00D72D9C" w:rsidRPr="00663CA6" w:rsidRDefault="00D72D9C" w:rsidP="00247A55">
            <w:pPr>
              <w:jc w:val="center"/>
            </w:pPr>
            <w:r w:rsidRPr="00663CA6">
              <w:t>Burak KOCA</w:t>
            </w:r>
          </w:p>
          <w:p w:rsidR="00D72D9C" w:rsidRPr="00663CA6" w:rsidRDefault="00D72D9C" w:rsidP="00247A55">
            <w:pPr>
              <w:jc w:val="center"/>
            </w:pPr>
            <w:r w:rsidRPr="00663CA6">
              <w:t>Üye</w:t>
            </w:r>
          </w:p>
        </w:tc>
        <w:tc>
          <w:tcPr>
            <w:tcW w:w="3105" w:type="dxa"/>
            <w:shd w:val="clear" w:color="auto" w:fill="FFFFFF" w:themeFill="background1"/>
            <w:vAlign w:val="center"/>
          </w:tcPr>
          <w:p w:rsidR="00D72D9C" w:rsidRPr="00663CA6" w:rsidRDefault="00D72D9C" w:rsidP="00247A55">
            <w:pPr>
              <w:jc w:val="center"/>
            </w:pPr>
            <w:r w:rsidRPr="00663CA6">
              <w:t>Edip BALCI</w:t>
            </w:r>
          </w:p>
          <w:p w:rsidR="00D72D9C" w:rsidRPr="00663CA6" w:rsidRDefault="00D72D9C" w:rsidP="00247A55">
            <w:pPr>
              <w:jc w:val="center"/>
            </w:pPr>
            <w:r w:rsidRPr="00663CA6">
              <w:t>Üye</w:t>
            </w:r>
          </w:p>
        </w:tc>
        <w:tc>
          <w:tcPr>
            <w:tcW w:w="3108" w:type="dxa"/>
            <w:shd w:val="clear" w:color="auto" w:fill="FFFFFF" w:themeFill="background1"/>
            <w:vAlign w:val="center"/>
          </w:tcPr>
          <w:p w:rsidR="00D72D9C" w:rsidRPr="00663CA6" w:rsidRDefault="00D72D9C" w:rsidP="00247A55">
            <w:pPr>
              <w:jc w:val="center"/>
            </w:pPr>
            <w:r w:rsidRPr="00663CA6">
              <w:t>Mehmet ÜÇÖZ</w:t>
            </w:r>
          </w:p>
          <w:p w:rsidR="00D72D9C" w:rsidRPr="00663CA6" w:rsidRDefault="00D72D9C" w:rsidP="00247A55">
            <w:pPr>
              <w:jc w:val="center"/>
            </w:pPr>
            <w:r w:rsidRPr="00663CA6">
              <w:t>Üye</w:t>
            </w:r>
          </w:p>
        </w:tc>
      </w:tr>
      <w:tr w:rsidR="00D72D9C" w:rsidRPr="00663CA6" w:rsidTr="00247A55">
        <w:trPr>
          <w:trHeight w:val="1214"/>
        </w:trPr>
        <w:tc>
          <w:tcPr>
            <w:tcW w:w="3105" w:type="dxa"/>
            <w:shd w:val="clear" w:color="auto" w:fill="FFFFFF" w:themeFill="background1"/>
            <w:vAlign w:val="bottom"/>
          </w:tcPr>
          <w:p w:rsidR="00D72D9C" w:rsidRPr="00663CA6" w:rsidRDefault="00D72D9C" w:rsidP="00247A55">
            <w:pPr>
              <w:jc w:val="center"/>
            </w:pPr>
            <w:r w:rsidRPr="00663CA6">
              <w:t>Ömer KOÇAK</w:t>
            </w:r>
          </w:p>
          <w:p w:rsidR="00D72D9C" w:rsidRPr="00663CA6" w:rsidRDefault="00D72D9C" w:rsidP="00247A55">
            <w:pPr>
              <w:jc w:val="center"/>
            </w:pPr>
            <w:r w:rsidRPr="00663CA6">
              <w:t>Üye</w:t>
            </w:r>
          </w:p>
        </w:tc>
        <w:tc>
          <w:tcPr>
            <w:tcW w:w="3105" w:type="dxa"/>
            <w:shd w:val="clear" w:color="auto" w:fill="FFFFFF" w:themeFill="background1"/>
            <w:vAlign w:val="bottom"/>
          </w:tcPr>
          <w:p w:rsidR="00D72D9C" w:rsidRPr="00663CA6" w:rsidRDefault="00D72D9C" w:rsidP="00247A55">
            <w:pPr>
              <w:jc w:val="center"/>
            </w:pPr>
            <w:r w:rsidRPr="00663CA6">
              <w:t>Haydar DEMİR</w:t>
            </w:r>
          </w:p>
          <w:p w:rsidR="00D72D9C" w:rsidRPr="00663CA6" w:rsidRDefault="00D72D9C" w:rsidP="00247A55">
            <w:pPr>
              <w:jc w:val="center"/>
            </w:pPr>
            <w:r w:rsidRPr="00663CA6">
              <w:t>Üye</w:t>
            </w:r>
          </w:p>
        </w:tc>
        <w:tc>
          <w:tcPr>
            <w:tcW w:w="3108" w:type="dxa"/>
            <w:shd w:val="clear" w:color="auto" w:fill="FFFFFF" w:themeFill="background1"/>
            <w:vAlign w:val="bottom"/>
          </w:tcPr>
          <w:p w:rsidR="00D72D9C" w:rsidRPr="00663CA6" w:rsidRDefault="00D72D9C" w:rsidP="00247A55">
            <w:pPr>
              <w:jc w:val="center"/>
            </w:pPr>
            <w:r w:rsidRPr="00663CA6">
              <w:t>Selim ÇIRPANOĞLU</w:t>
            </w:r>
          </w:p>
          <w:p w:rsidR="00D72D9C" w:rsidRPr="00663CA6" w:rsidRDefault="00D72D9C" w:rsidP="00247A55">
            <w:pPr>
              <w:jc w:val="center"/>
            </w:pPr>
            <w:r w:rsidRPr="00663CA6">
              <w:t>Üye</w:t>
            </w:r>
          </w:p>
        </w:tc>
      </w:tr>
    </w:tbl>
    <w:p w:rsidR="00D72D9C" w:rsidRDefault="00D72D9C" w:rsidP="00D72D9C">
      <w:pPr>
        <w:tabs>
          <w:tab w:val="left" w:pos="709"/>
          <w:tab w:val="left" w:pos="3828"/>
          <w:tab w:val="left" w:pos="4678"/>
          <w:tab w:val="left" w:pos="5387"/>
          <w:tab w:val="left" w:pos="9072"/>
        </w:tabs>
        <w:contextualSpacing/>
        <w:jc w:val="both"/>
      </w:pPr>
    </w:p>
    <w:p w:rsidR="00D72D9C" w:rsidRPr="0055051B" w:rsidRDefault="00D72D9C" w:rsidP="00EE7B7B">
      <w:pPr>
        <w:jc w:val="both"/>
      </w:pPr>
    </w:p>
    <w:sectPr w:rsidR="00D72D9C" w:rsidRPr="0055051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382"/>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2978"/>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2EF"/>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6EF5"/>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1D1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982"/>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694"/>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28EA"/>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2510"/>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74A"/>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0D"/>
    <w:rsid w:val="0090591A"/>
    <w:rsid w:val="00906C89"/>
    <w:rsid w:val="00907B9C"/>
    <w:rsid w:val="009103A8"/>
    <w:rsid w:val="00910AF8"/>
    <w:rsid w:val="00910FC0"/>
    <w:rsid w:val="00911B95"/>
    <w:rsid w:val="0091268B"/>
    <w:rsid w:val="00912E7D"/>
    <w:rsid w:val="00913950"/>
    <w:rsid w:val="009141F0"/>
    <w:rsid w:val="00915126"/>
    <w:rsid w:val="0091538A"/>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21C"/>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1D02"/>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4EFE"/>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5717F"/>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3D7F"/>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92F"/>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62B"/>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AAE"/>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4ADA"/>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2D9C"/>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1B4D"/>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E7B7B"/>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235"/>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93C2-F54E-4863-9E11-7EFF7403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1000</Words>
  <Characters>7458</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2021-06-15T10:08:00Z</cp:lastPrinted>
  <dcterms:created xsi:type="dcterms:W3CDTF">2021-06-15T08:05:00Z</dcterms:created>
  <dcterms:modified xsi:type="dcterms:W3CDTF">2021-06-17T11:41:00Z</dcterms:modified>
</cp:coreProperties>
</file>