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0566EB">
        <w:rPr>
          <w:color w:val="000000" w:themeColor="text1"/>
        </w:rPr>
        <w:t>122</w:t>
      </w:r>
      <w:r w:rsidR="007F6038">
        <w:rPr>
          <w:color w:val="000000" w:themeColor="text1"/>
        </w:rPr>
        <w:t>8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7F6038" w:rsidP="00FE004C">
      <w:pPr>
        <w:ind w:firstLine="708"/>
        <w:jc w:val="both"/>
        <w:rPr>
          <w:color w:val="000000" w:themeColor="text1"/>
        </w:rPr>
      </w:pPr>
      <w:r>
        <w:t>Evren İlçesi Merkez ve Dokuz Mahallesi–Şereflikoçhisar sınırında kalan içme su</w:t>
      </w:r>
      <w:r w:rsidR="00053F65">
        <w:t>yu</w:t>
      </w:r>
      <w:r>
        <w:t xml:space="preserve"> hattına</w:t>
      </w:r>
      <w:r w:rsidR="00061E9A"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 w:rsidR="003346E9">
        <w:rPr>
          <w:color w:val="000000" w:themeColor="text1"/>
        </w:rPr>
        <w:t>1</w:t>
      </w:r>
      <w:r>
        <w:rPr>
          <w:color w:val="000000" w:themeColor="text1"/>
        </w:rPr>
        <w:t>4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8F3BF4" w:rsidRPr="00FE004C">
        <w:rPr>
          <w:color w:val="000000" w:themeColor="text1"/>
        </w:rPr>
        <w:t>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7F6038" w:rsidRDefault="007458E0" w:rsidP="007F6038">
      <w:pPr>
        <w:autoSpaceDE w:val="0"/>
        <w:autoSpaceDN w:val="0"/>
        <w:adjustRightInd w:val="0"/>
        <w:ind w:firstLine="708"/>
        <w:jc w:val="both"/>
      </w:pPr>
      <w:r w:rsidRPr="00FE004C">
        <w:rPr>
          <w:color w:val="000000" w:themeColor="text1"/>
        </w:rPr>
        <w:t xml:space="preserve">Konu üzerinde yapılan görüşmelerden sonra; </w:t>
      </w:r>
      <w:r w:rsidR="007F6038">
        <w:t xml:space="preserve">Evren İlçesi Merkez ve Dokuz Mahallesi - Şereflikoçhisar sınırında kalan hat üzerindeki mahallelere su verilmek üzere 2018 yılında ihalesi yapılmış olan, 2018 yılı içerisinde depolar ve hattı tamamlanmış olan projenin büyük bölümünün bittiği; </w:t>
      </w:r>
    </w:p>
    <w:p w:rsidR="007F6038" w:rsidRDefault="007F6038" w:rsidP="007F6038">
      <w:pPr>
        <w:autoSpaceDE w:val="0"/>
        <w:autoSpaceDN w:val="0"/>
        <w:adjustRightInd w:val="0"/>
        <w:ind w:firstLine="708"/>
        <w:jc w:val="both"/>
      </w:pPr>
    </w:p>
    <w:p w:rsidR="00FE004C" w:rsidRPr="00FE004C" w:rsidRDefault="007F6038" w:rsidP="007F6038">
      <w:pPr>
        <w:spacing w:line="240" w:lineRule="atLeast"/>
        <w:ind w:right="-63" w:firstLine="708"/>
        <w:jc w:val="both"/>
        <w:rPr>
          <w:color w:val="000000" w:themeColor="text1"/>
        </w:rPr>
      </w:pPr>
      <w:r>
        <w:t>Ancak şuana kadar proje üzerinde herhangi bir çalışma yapılmadığı, mahallelerin içme suyu konusunda büyük sıkıntılar çektiği, tankerlerle su çekilmekte olsa da yetersiz kaldığı anlaşılmış olup projenin ivedi bir şekilde tamamlanmasına</w:t>
      </w:r>
      <w:r w:rsidR="00E61D59">
        <w:t xml:space="preserve"> </w:t>
      </w:r>
      <w:r w:rsidR="00FE004C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FE004C" w:rsidRPr="00FE004C">
        <w:rPr>
          <w:color w:val="000000" w:themeColor="text1"/>
        </w:rPr>
        <w:t>Komisyonu Raporu</w:t>
      </w:r>
      <w:r w:rsidR="00725AA2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oylanarak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 BAYANLI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Default="00F056A8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833C96">
      <w:pPr>
        <w:jc w:val="center"/>
      </w:pPr>
      <w:r>
        <w:lastRenderedPageBreak/>
        <w:t>T.C.</w:t>
      </w:r>
    </w:p>
    <w:p w:rsidR="00833C96" w:rsidRDefault="00833C96" w:rsidP="00833C96">
      <w:pPr>
        <w:jc w:val="center"/>
      </w:pPr>
      <w:r>
        <w:t>ANKARA BÜYÜKŞEHİR BELEDİYE MECLİSİ</w:t>
      </w:r>
    </w:p>
    <w:p w:rsidR="00833C96" w:rsidRDefault="00833C96" w:rsidP="00833C96">
      <w:pPr>
        <w:jc w:val="center"/>
      </w:pPr>
      <w:r>
        <w:t>Su ve Kanal Hizmetleri Komisyonu Raporu</w:t>
      </w:r>
    </w:p>
    <w:p w:rsidR="00833C96" w:rsidRDefault="00833C96" w:rsidP="00833C96">
      <w:pPr>
        <w:jc w:val="center"/>
      </w:pPr>
    </w:p>
    <w:p w:rsidR="00833C96" w:rsidRDefault="00833C96" w:rsidP="00833C96">
      <w:r>
        <w:t>Rapor No: 14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31.05.2021</w:t>
      </w:r>
    </w:p>
    <w:p w:rsidR="00833C96" w:rsidRDefault="00833C96" w:rsidP="00833C96"/>
    <w:p w:rsidR="00833C96" w:rsidRDefault="00833C96" w:rsidP="00833C96">
      <w:pPr>
        <w:jc w:val="center"/>
      </w:pPr>
      <w:r>
        <w:t>BÜYÜKŞEHİR BELEDİYE MECLİSİ BAŞKANLIĞINA</w:t>
      </w:r>
    </w:p>
    <w:p w:rsidR="00833C96" w:rsidRDefault="00833C96" w:rsidP="00833C96">
      <w:pPr>
        <w:jc w:val="center"/>
      </w:pPr>
    </w:p>
    <w:p w:rsidR="00833C96" w:rsidRDefault="00833C96" w:rsidP="00833C96">
      <w:pPr>
        <w:jc w:val="both"/>
      </w:pPr>
    </w:p>
    <w:p w:rsidR="00833C96" w:rsidRDefault="00833C96" w:rsidP="00833C96">
      <w:pPr>
        <w:jc w:val="both"/>
      </w:pPr>
    </w:p>
    <w:p w:rsidR="00833C96" w:rsidRPr="0084193C" w:rsidRDefault="00833C96" w:rsidP="00833C96">
      <w:pPr>
        <w:ind w:firstLine="708"/>
        <w:jc w:val="both"/>
      </w:pPr>
      <w:r>
        <w:t xml:space="preserve">Evren İlçesi Merkez ve Dokuz Mahallesi - Şereflikoçhisar sınırında kalan içme suyu hattına ilişkin </w:t>
      </w:r>
      <w:r w:rsidRPr="0084193C">
        <w:t xml:space="preserve">Büyükşehir Belediye Meclisimizin 24.05.2021 tarih ve </w:t>
      </w:r>
      <w:r>
        <w:t>44</w:t>
      </w:r>
      <w:r w:rsidRPr="0084193C">
        <w:t>. gündem maddesi olarak komisyonumuza havale edilen dosya incelendi.</w:t>
      </w:r>
    </w:p>
    <w:p w:rsidR="00833C96" w:rsidRPr="0084193C" w:rsidRDefault="00833C96" w:rsidP="00833C96">
      <w:pPr>
        <w:ind w:firstLine="708"/>
        <w:jc w:val="both"/>
      </w:pPr>
    </w:p>
    <w:p w:rsidR="00833C96" w:rsidRPr="0084193C" w:rsidRDefault="00833C96" w:rsidP="00833C96">
      <w:pPr>
        <w:ind w:firstLine="708"/>
        <w:jc w:val="both"/>
      </w:pPr>
      <w:r>
        <w:t>Üye Hikmet ÖZBEK ve arkadaşının</w:t>
      </w:r>
      <w:r w:rsidRPr="0084193C">
        <w:t xml:space="preserve"> verdiği önergede; </w:t>
      </w:r>
      <w:r>
        <w:t>Evren İlçesi Merkez ve Dokuz Mahallesi - Şereflikoçhisar sınırında kalan içme suyu hattının</w:t>
      </w:r>
      <w:r w:rsidRPr="0084193C">
        <w:t xml:space="preserve"> istenildiği;</w:t>
      </w:r>
    </w:p>
    <w:p w:rsidR="00833C96" w:rsidRPr="0084193C" w:rsidRDefault="00833C96" w:rsidP="00833C96">
      <w:pPr>
        <w:ind w:firstLine="708"/>
        <w:jc w:val="both"/>
      </w:pPr>
    </w:p>
    <w:p w:rsidR="00833C96" w:rsidRDefault="00833C96" w:rsidP="00833C96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Evren İlçesi Merkez ve Dokuz Mahallesi - Şereflikoçhisar sınırında kalan hat üzerindeki mahallelere su verilmek üzere 2018 yılında ihalesi yapılmış olan, 2018 yılı içerisinde depolar ve hattı tamamlanmış olan projenin büyük bölümünün bittiği; </w:t>
      </w:r>
    </w:p>
    <w:p w:rsidR="00833C96" w:rsidRDefault="00833C96" w:rsidP="00833C96">
      <w:pPr>
        <w:autoSpaceDE w:val="0"/>
        <w:autoSpaceDN w:val="0"/>
        <w:adjustRightInd w:val="0"/>
        <w:ind w:firstLine="708"/>
        <w:jc w:val="both"/>
      </w:pPr>
    </w:p>
    <w:p w:rsidR="00833C96" w:rsidRPr="0084193C" w:rsidRDefault="00833C96" w:rsidP="00833C96">
      <w:pPr>
        <w:autoSpaceDE w:val="0"/>
        <w:autoSpaceDN w:val="0"/>
        <w:adjustRightInd w:val="0"/>
        <w:ind w:firstLine="708"/>
        <w:jc w:val="both"/>
      </w:pPr>
      <w:r>
        <w:t xml:space="preserve">Ancak şuana kadar proje üzerinde herhangi bir çalışma yapılmadığı, mahallelerin içme suyu konusunda büyük sıkıntılar çektiği, tankerlerle su çekilmekte olsa da yetersiz kaldığı anlaşılmış olup projenin ivedi bir şekilde tamamlanması </w:t>
      </w:r>
      <w:r w:rsidRPr="0084193C">
        <w:t>komisyonumuzca uygun görülmüştür.</w:t>
      </w:r>
    </w:p>
    <w:p w:rsidR="00833C96" w:rsidRPr="0084193C" w:rsidRDefault="00833C96" w:rsidP="00833C96">
      <w:pPr>
        <w:ind w:firstLine="708"/>
        <w:jc w:val="both"/>
      </w:pPr>
    </w:p>
    <w:p w:rsidR="00833C96" w:rsidRPr="0084193C" w:rsidRDefault="00833C96" w:rsidP="00833C96">
      <w:pPr>
        <w:ind w:firstLine="708"/>
        <w:jc w:val="both"/>
      </w:pPr>
      <w:r w:rsidRPr="0084193C">
        <w:t>Raporumuz Büyükşehir Belediye Meclisinin onayına arz olunur.</w:t>
      </w:r>
    </w:p>
    <w:p w:rsidR="00833C96" w:rsidRDefault="00833C96" w:rsidP="00833C96">
      <w:pPr>
        <w:jc w:val="both"/>
      </w:pPr>
    </w:p>
    <w:p w:rsidR="00833C96" w:rsidRDefault="00833C96" w:rsidP="00833C96">
      <w:pPr>
        <w:jc w:val="both"/>
      </w:pPr>
    </w:p>
    <w:p w:rsidR="00833C96" w:rsidRDefault="00833C96" w:rsidP="00833C96">
      <w:pPr>
        <w:jc w:val="both"/>
      </w:pPr>
      <w:bookmarkStart w:id="0" w:name="_GoBack"/>
      <w:bookmarkEnd w:id="0"/>
    </w:p>
    <w:p w:rsidR="00833C96" w:rsidRDefault="00833C96" w:rsidP="00833C96">
      <w:pPr>
        <w:jc w:val="both"/>
      </w:pPr>
    </w:p>
    <w:p w:rsidR="00833C96" w:rsidRDefault="00833C96" w:rsidP="00833C96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833C96" w:rsidTr="00F90012">
        <w:trPr>
          <w:trHeight w:val="1417"/>
        </w:trPr>
        <w:tc>
          <w:tcPr>
            <w:tcW w:w="3152" w:type="dxa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33C96" w:rsidTr="00F90012">
        <w:trPr>
          <w:trHeight w:val="1417"/>
        </w:trPr>
        <w:tc>
          <w:tcPr>
            <w:tcW w:w="3152" w:type="dxa"/>
            <w:vAlign w:val="center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33C96" w:rsidTr="00F90012">
        <w:trPr>
          <w:trHeight w:val="1417"/>
        </w:trPr>
        <w:tc>
          <w:tcPr>
            <w:tcW w:w="3152" w:type="dxa"/>
            <w:vAlign w:val="bottom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833C96" w:rsidRDefault="00833C9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833C96" w:rsidRDefault="00833C96" w:rsidP="00833C96">
      <w:pPr>
        <w:jc w:val="both"/>
      </w:pPr>
    </w:p>
    <w:p w:rsidR="00833C96" w:rsidRDefault="00833C96" w:rsidP="00272D58">
      <w:pPr>
        <w:rPr>
          <w:color w:val="000000" w:themeColor="text1"/>
        </w:rPr>
      </w:pPr>
    </w:p>
    <w:p w:rsidR="00833C96" w:rsidRDefault="00833C96" w:rsidP="00272D58">
      <w:pPr>
        <w:rPr>
          <w:color w:val="000000" w:themeColor="text1"/>
        </w:rPr>
      </w:pPr>
    </w:p>
    <w:p w:rsidR="00833C96" w:rsidRPr="00FE004C" w:rsidRDefault="00833C96" w:rsidP="00272D58">
      <w:pPr>
        <w:rPr>
          <w:color w:val="000000" w:themeColor="text1"/>
        </w:rPr>
      </w:pPr>
    </w:p>
    <w:p w:rsidR="00F45719" w:rsidRPr="00FE004C" w:rsidRDefault="00F45719" w:rsidP="00272D58">
      <w:pPr>
        <w:autoSpaceDE w:val="0"/>
        <w:autoSpaceDN w:val="0"/>
        <w:adjustRightInd w:val="0"/>
        <w:jc w:val="center"/>
        <w:rPr>
          <w:color w:val="000000" w:themeColor="text1"/>
        </w:rPr>
      </w:pPr>
    </w:p>
    <w:sectPr w:rsidR="00F45719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3F65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653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47EEA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3C96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337D-356E-4034-BDEF-F42C4B77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2021-06-14T08:03:00Z</dcterms:created>
  <dcterms:modified xsi:type="dcterms:W3CDTF">2021-06-15T08:06:00Z</dcterms:modified>
</cp:coreProperties>
</file>