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8A74B2" w:rsidP="00003874">
            <w:pPr>
              <w:ind w:left="708" w:firstLine="708"/>
            </w:pPr>
            <w:r>
              <w:t xml:space="preserve">  </w:t>
            </w:r>
            <w:r w:rsidR="00401E09">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D2490E">
        <w:t>399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A74B2">
        <w:t xml:space="preserve"> </w:t>
      </w:r>
      <w:r w:rsidR="00912EDA">
        <w:t>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3E4719" w:rsidRDefault="003E4719" w:rsidP="003E4719">
      <w:pPr>
        <w:jc w:val="both"/>
      </w:pPr>
    </w:p>
    <w:p w:rsidR="00F813E4" w:rsidRPr="00651B9B" w:rsidRDefault="00651B9B" w:rsidP="00651B9B">
      <w:pPr>
        <w:ind w:firstLine="658"/>
        <w:jc w:val="both"/>
      </w:pPr>
      <w:r w:rsidRPr="00651B9B">
        <w:t xml:space="preserve">Altındağ İlçesi </w:t>
      </w:r>
      <w:proofErr w:type="spellStart"/>
      <w:r w:rsidRPr="00651B9B">
        <w:t>Hacıbayram</w:t>
      </w:r>
      <w:proofErr w:type="spellEnd"/>
      <w:r w:rsidRPr="00651B9B">
        <w:t xml:space="preserve"> Mahallesi 19956 ada 1 parselde üst hakkı sözleşmesinin iptaline </w:t>
      </w:r>
      <w:r w:rsidR="00844A89" w:rsidRPr="00651B9B">
        <w:t xml:space="preserve">ilişkin </w:t>
      </w:r>
      <w:r w:rsidR="00A75BA4" w:rsidRPr="00651B9B">
        <w:t>Hukuk ve Tarifeler Komisyonu</w:t>
      </w:r>
      <w:r w:rsidR="00E93BC4" w:rsidRPr="00651B9B">
        <w:t xml:space="preserve"> </w:t>
      </w:r>
      <w:r w:rsidR="00605CC8" w:rsidRPr="00651B9B">
        <w:t xml:space="preserve">Komisyonunun </w:t>
      </w:r>
      <w:r w:rsidR="001614D3" w:rsidRPr="00651B9B">
        <w:t>18</w:t>
      </w:r>
      <w:r w:rsidR="00970CBA" w:rsidRPr="00651B9B">
        <w:t>.09</w:t>
      </w:r>
      <w:r w:rsidR="00AF4ABA" w:rsidRPr="00651B9B">
        <w:t xml:space="preserve">.2020 gün ve </w:t>
      </w:r>
      <w:r w:rsidR="0014315F" w:rsidRPr="00651B9B">
        <w:t>4</w:t>
      </w:r>
      <w:r w:rsidRPr="00651B9B">
        <w:t>8</w:t>
      </w:r>
      <w:r w:rsidR="00D84F0C" w:rsidRPr="00651B9B">
        <w:t xml:space="preserve"> </w:t>
      </w:r>
      <w:r w:rsidR="00AF4ABA" w:rsidRPr="00651B9B">
        <w:t>sayılı raporu Büy</w:t>
      </w:r>
      <w:r w:rsidR="00605CC8" w:rsidRPr="00651B9B">
        <w:t xml:space="preserve">ükşehir Belediye Meclisimizin </w:t>
      </w:r>
      <w:r w:rsidR="00912EDA" w:rsidRPr="00651B9B">
        <w:t>13</w:t>
      </w:r>
      <w:r w:rsidR="00605CC8" w:rsidRPr="00651B9B">
        <w:t>.</w:t>
      </w:r>
      <w:r w:rsidR="00050B1F" w:rsidRPr="00651B9B">
        <w:t>10</w:t>
      </w:r>
      <w:r w:rsidR="00AF4ABA" w:rsidRPr="00651B9B">
        <w:t>.2020 tarihli toplantısında okundu.</w:t>
      </w:r>
    </w:p>
    <w:p w:rsidR="00F813E4" w:rsidRPr="00651B9B" w:rsidRDefault="00F813E4" w:rsidP="00651B9B">
      <w:pPr>
        <w:ind w:firstLine="658"/>
        <w:jc w:val="both"/>
      </w:pPr>
    </w:p>
    <w:p w:rsidR="00651B9B" w:rsidRPr="00651B9B" w:rsidRDefault="001614D3" w:rsidP="00651B9B">
      <w:pPr>
        <w:pStyle w:val="Gvdemetni1"/>
        <w:shd w:val="clear" w:color="auto" w:fill="auto"/>
        <w:spacing w:line="240" w:lineRule="auto"/>
        <w:ind w:left="40" w:right="20" w:firstLine="668"/>
        <w:jc w:val="both"/>
        <w:rPr>
          <w:sz w:val="24"/>
          <w:szCs w:val="24"/>
        </w:rPr>
      </w:pPr>
      <w:r w:rsidRPr="00651B9B">
        <w:rPr>
          <w:sz w:val="24"/>
          <w:szCs w:val="24"/>
        </w:rPr>
        <w:t xml:space="preserve">Konu üzerinde yapılan incelemeler neticesinde; </w:t>
      </w:r>
      <w:r w:rsidR="00651B9B" w:rsidRPr="00651B9B">
        <w:rPr>
          <w:sz w:val="24"/>
          <w:szCs w:val="24"/>
        </w:rPr>
        <w:t xml:space="preserve">Hukuk Müşavirliği'nin 10.08.2020 tarihli ve E.78015 sayılı yazıda ve 20.07.2020 tarih ve E. 12475 sayılı Başkanlık Olur'unda; Ankara İli, Altındağ İlçesi, 19956 ada 1 parselde bulunan yapıya ilişkin Üst Hakkı süresinin 28 yıl olması ve bu sürenin Vergi Kanununun belirttiği şartlara göre çok uzun olduğu; Üst Hakkı ihalesinde sadece yapı bedelinin bulunduğu, arsa bedelinin </w:t>
      </w:r>
      <w:proofErr w:type="gramStart"/>
      <w:r w:rsidR="00651B9B" w:rsidRPr="00651B9B">
        <w:rPr>
          <w:sz w:val="24"/>
          <w:szCs w:val="24"/>
        </w:rPr>
        <w:t>dahil</w:t>
      </w:r>
      <w:proofErr w:type="gramEnd"/>
      <w:r w:rsidR="00651B9B" w:rsidRPr="00651B9B">
        <w:rPr>
          <w:sz w:val="24"/>
          <w:szCs w:val="24"/>
        </w:rPr>
        <w:t xml:space="preserve"> edilmediği, şehrin merkezinde ve tarihi yapıların içerisinde bulunan yapının sadece restorasyonunun yapılması için bu kadar uzun süreli ihaleye verilmesinin kamu kaynağının kamu yaran doğrultusunda kullanılmadığı,</w:t>
      </w:r>
    </w:p>
    <w:p w:rsidR="00651B9B" w:rsidRPr="00651B9B" w:rsidRDefault="00651B9B" w:rsidP="00651B9B">
      <w:pPr>
        <w:pStyle w:val="Gvdemetni1"/>
        <w:shd w:val="clear" w:color="auto" w:fill="auto"/>
        <w:spacing w:line="240" w:lineRule="auto"/>
        <w:ind w:left="40" w:right="20"/>
        <w:jc w:val="both"/>
        <w:rPr>
          <w:sz w:val="24"/>
          <w:szCs w:val="24"/>
        </w:rPr>
      </w:pPr>
      <w:proofErr w:type="gramStart"/>
      <w:r w:rsidRPr="00651B9B">
        <w:rPr>
          <w:sz w:val="24"/>
          <w:szCs w:val="24"/>
        </w:rPr>
        <w:t xml:space="preserve">Ayrıca, Üst hakkı kullanıcısı lehine fayda sağlanarak kamu zararına sebep olunduğundan ve Sosyal Hizmetler Eğitim ve Yardım Vakfı ile yapılan Üst Hakkı sözleşmesinin "'Genel hükümler" kısmının J bendinde "Yüklenicinin yapım işinin kendisinin yapmaması durumunda, Yüklenici taşeron olarak taahhüt veren firmanın en az bu işin keşif bedeli kadar benzer iş (eski eser onarımı veya işi) </w:t>
      </w:r>
      <w:proofErr w:type="spellStart"/>
      <w:r w:rsidRPr="00651B9B">
        <w:rPr>
          <w:sz w:val="24"/>
          <w:szCs w:val="24"/>
        </w:rPr>
        <w:t>bitinnesi</w:t>
      </w:r>
      <w:proofErr w:type="spellEnd"/>
      <w:r w:rsidRPr="00651B9B">
        <w:rPr>
          <w:sz w:val="24"/>
          <w:szCs w:val="24"/>
        </w:rPr>
        <w:t xml:space="preserve"> ve bunu belgelendirmesi (son 15 yıl içinde alınmış iş bitirme belgesi) istenecektir. </w:t>
      </w:r>
      <w:proofErr w:type="gramEnd"/>
      <w:r w:rsidRPr="00651B9B">
        <w:rPr>
          <w:sz w:val="24"/>
          <w:szCs w:val="24"/>
        </w:rPr>
        <w:t>Taşeron firmada işin yapılmasında bu şartnamede belirtilen hususlara uyacaktır. Bu şartlan yerine getirmeyen Yüklenicinin sözleşmesi feshedilecektir." belirtildiği, bu madde doğrultusunda "KA Restorasyon Peyzaj İnşaat Emlak ve Et Besicilik Gıda San. İç Dış Tic. Ltd. Şti." '</w:t>
      </w:r>
      <w:proofErr w:type="spellStart"/>
      <w:r w:rsidRPr="00651B9B">
        <w:rPr>
          <w:sz w:val="24"/>
          <w:szCs w:val="24"/>
        </w:rPr>
        <w:t>nin</w:t>
      </w:r>
      <w:proofErr w:type="spellEnd"/>
      <w:r w:rsidRPr="00651B9B">
        <w:rPr>
          <w:sz w:val="24"/>
          <w:szCs w:val="24"/>
        </w:rPr>
        <w:t xml:space="preserve"> </w:t>
      </w:r>
      <w:proofErr w:type="gramStart"/>
      <w:r w:rsidRPr="00651B9B">
        <w:rPr>
          <w:sz w:val="24"/>
          <w:szCs w:val="24"/>
        </w:rPr>
        <w:t>müteahhit</w:t>
      </w:r>
      <w:proofErr w:type="gramEnd"/>
      <w:r w:rsidRPr="00651B9B">
        <w:rPr>
          <w:sz w:val="24"/>
          <w:szCs w:val="24"/>
        </w:rPr>
        <w:t xml:space="preserve"> olarak gözüktüğü, ancak yapı müteahhidi ile ilgili olarak şartlar sağlandığına dair hiçbir belge bulunmadığı, eğer evraklar istenilmeden yapı müteahhidi bu işi bitirmiş ise Üst Hakkı Sözleşme şartlarının yerine</w:t>
      </w:r>
    </w:p>
    <w:p w:rsidR="00651B9B" w:rsidRPr="00651B9B" w:rsidRDefault="00651B9B" w:rsidP="00651B9B">
      <w:pPr>
        <w:pStyle w:val="Gvdemetni1"/>
        <w:shd w:val="clear" w:color="auto" w:fill="auto"/>
        <w:spacing w:line="240" w:lineRule="auto"/>
        <w:ind w:left="40" w:right="20"/>
        <w:jc w:val="both"/>
        <w:rPr>
          <w:sz w:val="24"/>
          <w:szCs w:val="24"/>
        </w:rPr>
      </w:pPr>
    </w:p>
    <w:p w:rsidR="00651B9B" w:rsidRPr="00651B9B" w:rsidRDefault="00651B9B" w:rsidP="00651B9B">
      <w:pPr>
        <w:pStyle w:val="Gvdemetni1"/>
        <w:shd w:val="clear" w:color="auto" w:fill="auto"/>
        <w:spacing w:line="240" w:lineRule="auto"/>
        <w:ind w:firstLine="708"/>
        <w:jc w:val="both"/>
        <w:rPr>
          <w:sz w:val="24"/>
          <w:szCs w:val="24"/>
        </w:rPr>
      </w:pPr>
      <w:r w:rsidRPr="00651B9B">
        <w:rPr>
          <w:sz w:val="24"/>
          <w:szCs w:val="24"/>
        </w:rPr>
        <w:t>Özetle, üst hakkı sözleşmesi şartlarının yerine getirilmediği anlaşılmaktadır.</w:t>
      </w:r>
    </w:p>
    <w:p w:rsidR="00651B9B" w:rsidRPr="00651B9B" w:rsidRDefault="00651B9B" w:rsidP="00651B9B">
      <w:pPr>
        <w:pStyle w:val="Gvdemetni30"/>
        <w:shd w:val="clear" w:color="auto" w:fill="auto"/>
        <w:spacing w:line="240" w:lineRule="auto"/>
        <w:ind w:left="40" w:right="20" w:firstLine="668"/>
        <w:rPr>
          <w:rStyle w:val="Gvdemetni3talikdeil"/>
          <w:rFonts w:eastAsia="Calibri"/>
          <w:sz w:val="24"/>
          <w:szCs w:val="24"/>
        </w:rPr>
      </w:pPr>
      <w:r w:rsidRPr="00651B9B">
        <w:rPr>
          <w:rStyle w:val="Gvdemetni3talikdeil"/>
          <w:rFonts w:eastAsia="Calibri"/>
          <w:sz w:val="24"/>
          <w:szCs w:val="24"/>
        </w:rPr>
        <w:t xml:space="preserve">4721 sayılı Türk Medeni Kanununun 831 </w:t>
      </w:r>
      <w:proofErr w:type="spellStart"/>
      <w:r w:rsidRPr="00651B9B">
        <w:rPr>
          <w:rStyle w:val="Gvdemetni3talikdeil"/>
          <w:rFonts w:eastAsia="Calibri"/>
          <w:sz w:val="24"/>
          <w:szCs w:val="24"/>
        </w:rPr>
        <w:t>nci</w:t>
      </w:r>
      <w:proofErr w:type="spellEnd"/>
      <w:r w:rsidRPr="00651B9B">
        <w:rPr>
          <w:rStyle w:val="Gvdemetni3talikdeil"/>
          <w:rFonts w:eastAsia="Calibri"/>
          <w:sz w:val="24"/>
          <w:szCs w:val="24"/>
        </w:rPr>
        <w:t xml:space="preserve"> maddesinde,"Üst</w:t>
      </w:r>
      <w:r w:rsidRPr="00651B9B">
        <w:rPr>
          <w:b/>
          <w:i/>
          <w:sz w:val="24"/>
          <w:szCs w:val="24"/>
        </w:rPr>
        <w:t xml:space="preserve"> hakkı sahibi, bu haktan doğan yetkilerinin sınırını ağır şekilde aşar veya sözleşmeden doğan yükümlülüklerine önemli ölçüde aykırı davranırsa; malik, üst hakkının ona bağlı bütün hak ve yükümlülükleri ile birlikte süresinden önce kendisine devrini isteyebilir,</w:t>
      </w:r>
      <w:r w:rsidRPr="00651B9B">
        <w:rPr>
          <w:rStyle w:val="Gvdemetni3talikdeil"/>
          <w:rFonts w:eastAsia="Calibri"/>
          <w:sz w:val="24"/>
          <w:szCs w:val="24"/>
        </w:rPr>
        <w:t>"hükmü yer almaktadır.</w:t>
      </w:r>
    </w:p>
    <w:p w:rsidR="00651B9B" w:rsidRPr="00651B9B" w:rsidRDefault="00651B9B" w:rsidP="00651B9B">
      <w:pPr>
        <w:pStyle w:val="Gvdemetni30"/>
        <w:shd w:val="clear" w:color="auto" w:fill="auto"/>
        <w:spacing w:line="240" w:lineRule="auto"/>
        <w:ind w:left="40" w:right="20"/>
        <w:rPr>
          <w:sz w:val="24"/>
          <w:szCs w:val="24"/>
        </w:rPr>
      </w:pPr>
    </w:p>
    <w:p w:rsidR="001614D3" w:rsidRPr="00651B9B" w:rsidRDefault="00651B9B" w:rsidP="00651B9B">
      <w:pPr>
        <w:pStyle w:val="Gvdemetni1"/>
        <w:shd w:val="clear" w:color="auto" w:fill="auto"/>
        <w:spacing w:line="240" w:lineRule="auto"/>
        <w:ind w:right="60" w:firstLine="708"/>
        <w:jc w:val="both"/>
        <w:rPr>
          <w:sz w:val="24"/>
          <w:szCs w:val="24"/>
        </w:rPr>
      </w:pPr>
      <w:r w:rsidRPr="00651B9B">
        <w:rPr>
          <w:sz w:val="24"/>
          <w:szCs w:val="24"/>
        </w:rPr>
        <w:t xml:space="preserve">Bu nedenler, ilgide kayıtlı Teftiş Kurulu Başkanlığı raporu ve Hukuk Müşavirliği görüşü doğrultusunda Altındağ İlçesi, </w:t>
      </w:r>
      <w:proofErr w:type="spellStart"/>
      <w:r w:rsidRPr="00651B9B">
        <w:rPr>
          <w:sz w:val="24"/>
          <w:szCs w:val="24"/>
        </w:rPr>
        <w:t>Hacıbayram</w:t>
      </w:r>
      <w:proofErr w:type="spellEnd"/>
      <w:r w:rsidRPr="00651B9B">
        <w:rPr>
          <w:sz w:val="24"/>
          <w:szCs w:val="24"/>
        </w:rPr>
        <w:t xml:space="preserve"> Mahallesi 19956 ada 1 parselde bulunan söz konusu üst hakkı sözleşmesinin fesih edilmesine </w:t>
      </w:r>
      <w:r w:rsidR="008A74B2">
        <w:rPr>
          <w:sz w:val="24"/>
          <w:szCs w:val="24"/>
        </w:rPr>
        <w:t>yönelik</w:t>
      </w:r>
      <w:r w:rsidRPr="00651B9B">
        <w:rPr>
          <w:sz w:val="24"/>
          <w:szCs w:val="24"/>
        </w:rPr>
        <w:t xml:space="preserve"> teklifin reddine </w:t>
      </w:r>
      <w:r w:rsidR="001614D3" w:rsidRPr="00651B9B">
        <w:rPr>
          <w:spacing w:val="2"/>
          <w:sz w:val="24"/>
          <w:szCs w:val="24"/>
        </w:rPr>
        <w:t xml:space="preserve">ilişkin </w:t>
      </w:r>
      <w:r w:rsidR="00A75BA4" w:rsidRPr="00651B9B">
        <w:rPr>
          <w:sz w:val="24"/>
          <w:szCs w:val="24"/>
        </w:rPr>
        <w:t>Hukuk ve Tarifeler</w:t>
      </w:r>
      <w:r w:rsidR="00A75BA4" w:rsidRPr="00651B9B">
        <w:rPr>
          <w:spacing w:val="2"/>
          <w:sz w:val="24"/>
          <w:szCs w:val="24"/>
        </w:rPr>
        <w:t xml:space="preserve"> </w:t>
      </w:r>
      <w:r w:rsidR="001614D3" w:rsidRPr="00651B9B">
        <w:rPr>
          <w:spacing w:val="2"/>
          <w:sz w:val="24"/>
          <w:szCs w:val="24"/>
        </w:rPr>
        <w:t>Komisyonu Raporu</w:t>
      </w:r>
      <w:r w:rsidR="005B3AB5" w:rsidRPr="00651B9B">
        <w:rPr>
          <w:spacing w:val="2"/>
          <w:sz w:val="24"/>
          <w:szCs w:val="24"/>
        </w:rPr>
        <w:t xml:space="preserve"> </w:t>
      </w:r>
      <w:r w:rsidR="001614D3" w:rsidRPr="00651B9B">
        <w:rPr>
          <w:spacing w:val="2"/>
          <w:sz w:val="24"/>
          <w:szCs w:val="24"/>
        </w:rPr>
        <w:t xml:space="preserve">oylanarak </w:t>
      </w:r>
      <w:r>
        <w:rPr>
          <w:spacing w:val="2"/>
          <w:sz w:val="24"/>
          <w:szCs w:val="24"/>
        </w:rPr>
        <w:t>oyçokluğu</w:t>
      </w:r>
      <w:r w:rsidR="001614D3" w:rsidRPr="00651B9B">
        <w:rPr>
          <w:spacing w:val="2"/>
          <w:sz w:val="24"/>
          <w:szCs w:val="24"/>
        </w:rPr>
        <w:t xml:space="preserve"> ile kabul edildi.</w:t>
      </w:r>
    </w:p>
    <w:p w:rsidR="00AD5700" w:rsidRPr="00B32367" w:rsidRDefault="00AD5700" w:rsidP="00B32367">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8A74B2" w:rsidRDefault="008A74B2"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77332B">
        <w:trPr>
          <w:trHeight w:val="594"/>
          <w:jc w:val="center"/>
        </w:trPr>
        <w:tc>
          <w:tcPr>
            <w:tcW w:w="3147" w:type="dxa"/>
          </w:tcPr>
          <w:p w:rsidR="00876241" w:rsidRDefault="00876241" w:rsidP="0077332B">
            <w:pPr>
              <w:autoSpaceDE w:val="0"/>
              <w:autoSpaceDN w:val="0"/>
              <w:adjustRightInd w:val="0"/>
              <w:jc w:val="center"/>
              <w:rPr>
                <w:color w:val="000000"/>
              </w:rPr>
            </w:pPr>
            <w:r>
              <w:rPr>
                <w:color w:val="000000"/>
              </w:rPr>
              <w:t>Fatih ÜNAL</w:t>
            </w:r>
          </w:p>
          <w:p w:rsidR="00876241" w:rsidRDefault="00876241" w:rsidP="0077332B">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77332B">
            <w:pPr>
              <w:autoSpaceDE w:val="0"/>
              <w:autoSpaceDN w:val="0"/>
              <w:adjustRightInd w:val="0"/>
              <w:jc w:val="center"/>
              <w:rPr>
                <w:color w:val="000000"/>
              </w:rPr>
            </w:pPr>
            <w:r>
              <w:rPr>
                <w:color w:val="000000"/>
              </w:rPr>
              <w:t>Tuğba AYDOS</w:t>
            </w:r>
          </w:p>
          <w:p w:rsidR="00876241" w:rsidRDefault="00876241" w:rsidP="0077332B">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77332B">
            <w:pPr>
              <w:autoSpaceDE w:val="0"/>
              <w:autoSpaceDN w:val="0"/>
              <w:adjustRightInd w:val="0"/>
              <w:jc w:val="center"/>
              <w:rPr>
                <w:color w:val="000000"/>
              </w:rPr>
            </w:pPr>
            <w:r>
              <w:rPr>
                <w:color w:val="000000"/>
              </w:rPr>
              <w:t>Harun ÖZTÜRK</w:t>
            </w:r>
          </w:p>
          <w:p w:rsidR="00876241" w:rsidRDefault="00876241" w:rsidP="0077332B">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057675" w:rsidRDefault="00057675" w:rsidP="00057675"/>
    <w:p w:rsidR="00057675" w:rsidRPr="002630F5" w:rsidRDefault="00057675" w:rsidP="00057675">
      <w:pPr>
        <w:jc w:val="center"/>
      </w:pPr>
      <w:r w:rsidRPr="002630F5">
        <w:lastRenderedPageBreak/>
        <w:t>T.C.</w:t>
      </w:r>
    </w:p>
    <w:p w:rsidR="00057675" w:rsidRPr="002630F5" w:rsidRDefault="00057675" w:rsidP="00057675">
      <w:pPr>
        <w:jc w:val="center"/>
      </w:pPr>
      <w:r w:rsidRPr="002630F5">
        <w:t>ANKARA BÜYÜKŞEHİR BELEDİYE MECLİSİ</w:t>
      </w:r>
    </w:p>
    <w:p w:rsidR="00057675" w:rsidRDefault="00057675" w:rsidP="00057675">
      <w:pPr>
        <w:ind w:firstLine="708"/>
        <w:jc w:val="center"/>
      </w:pPr>
      <w:r>
        <w:t>Hukuk ve Tarifeler Komisyonu</w:t>
      </w:r>
      <w:r w:rsidRPr="002630F5">
        <w:t xml:space="preserve"> Raporu</w:t>
      </w:r>
    </w:p>
    <w:p w:rsidR="00057675" w:rsidRDefault="00057675" w:rsidP="00057675">
      <w:pPr>
        <w:jc w:val="both"/>
      </w:pPr>
      <w:r w:rsidRPr="002630F5">
        <w:t>Rapor No:</w:t>
      </w:r>
      <w:r>
        <w:t xml:space="preserve">48   </w:t>
      </w:r>
      <w:r w:rsidRPr="002630F5">
        <w:tab/>
      </w:r>
      <w:r w:rsidRPr="002630F5">
        <w:tab/>
      </w:r>
      <w:r w:rsidRPr="002630F5">
        <w:tab/>
      </w:r>
      <w:r w:rsidRPr="002630F5">
        <w:tab/>
      </w:r>
      <w:r w:rsidRPr="002630F5">
        <w:tab/>
      </w:r>
      <w:r w:rsidRPr="002630F5">
        <w:tab/>
      </w:r>
      <w:r w:rsidRPr="002630F5">
        <w:tab/>
      </w:r>
      <w:r>
        <w:tab/>
      </w:r>
      <w:r>
        <w:tab/>
        <w:t xml:space="preserve">        18</w:t>
      </w:r>
      <w:r w:rsidRPr="002630F5">
        <w:t>.</w:t>
      </w:r>
      <w:r>
        <w:t>09</w:t>
      </w:r>
      <w:r w:rsidRPr="002630F5">
        <w:t>.20</w:t>
      </w:r>
      <w:r>
        <w:t>20</w:t>
      </w:r>
    </w:p>
    <w:p w:rsidR="00057675" w:rsidRDefault="00057675" w:rsidP="00057675">
      <w:pPr>
        <w:jc w:val="both"/>
      </w:pPr>
    </w:p>
    <w:p w:rsidR="00057675" w:rsidRDefault="00057675" w:rsidP="00057675">
      <w:pPr>
        <w:jc w:val="center"/>
      </w:pPr>
      <w:r w:rsidRPr="002630F5">
        <w:t>BÜYÜKŞEHİR BELEDİYE MECLİSİ BAŞKANLIĞINA</w:t>
      </w:r>
    </w:p>
    <w:p w:rsidR="00057675" w:rsidRDefault="00057675" w:rsidP="00057675">
      <w:pPr>
        <w:jc w:val="center"/>
      </w:pPr>
    </w:p>
    <w:p w:rsidR="00057675" w:rsidRPr="00DD777C" w:rsidRDefault="00057675" w:rsidP="00057675">
      <w:pPr>
        <w:jc w:val="both"/>
      </w:pPr>
    </w:p>
    <w:p w:rsidR="00057675" w:rsidRPr="00A20A71" w:rsidRDefault="00057675" w:rsidP="00057675">
      <w:pPr>
        <w:pStyle w:val="GvdeMetni"/>
        <w:tabs>
          <w:tab w:val="left" w:pos="9356"/>
        </w:tabs>
        <w:ind w:firstLine="709"/>
        <w:contextualSpacing/>
        <w:rPr>
          <w:sz w:val="22"/>
          <w:szCs w:val="22"/>
        </w:rPr>
      </w:pPr>
      <w:r w:rsidRPr="00A20A71">
        <w:rPr>
          <w:sz w:val="22"/>
          <w:szCs w:val="22"/>
        </w:rPr>
        <w:t xml:space="preserve">Altındağ İlçesi </w:t>
      </w:r>
      <w:proofErr w:type="spellStart"/>
      <w:r w:rsidRPr="00A20A71">
        <w:rPr>
          <w:sz w:val="22"/>
          <w:szCs w:val="22"/>
        </w:rPr>
        <w:t>Hacıbayram</w:t>
      </w:r>
      <w:proofErr w:type="spellEnd"/>
      <w:r w:rsidRPr="00A20A71">
        <w:rPr>
          <w:sz w:val="22"/>
          <w:szCs w:val="22"/>
        </w:rPr>
        <w:t xml:space="preserve"> Mahallesi 19956 ada 1 parselde üst hakkı sözleşmesinin iptaline ilişkin Büyükşehir Belediye Meclisinin 09.09.2020 gün ve 04. gündem maddesi olarak komisyonumuza havale edilen dosya incelendi.</w:t>
      </w:r>
    </w:p>
    <w:p w:rsidR="00057675" w:rsidRPr="00A20A71" w:rsidRDefault="00057675" w:rsidP="00057675">
      <w:pPr>
        <w:pStyle w:val="GvdeMetni"/>
        <w:tabs>
          <w:tab w:val="left" w:pos="9356"/>
        </w:tabs>
        <w:ind w:firstLine="709"/>
        <w:contextualSpacing/>
        <w:rPr>
          <w:sz w:val="22"/>
          <w:szCs w:val="22"/>
        </w:rPr>
      </w:pPr>
    </w:p>
    <w:p w:rsidR="00057675" w:rsidRPr="00A20A71" w:rsidRDefault="00057675" w:rsidP="00057675">
      <w:pPr>
        <w:pStyle w:val="Gvdemetni1"/>
        <w:shd w:val="clear" w:color="auto" w:fill="auto"/>
        <w:spacing w:line="240" w:lineRule="auto"/>
        <w:ind w:left="40" w:right="20" w:firstLine="668"/>
        <w:jc w:val="both"/>
      </w:pPr>
      <w:r w:rsidRPr="00A20A71">
        <w:t xml:space="preserve">Komisyonumuzca yapılan incelemeler neticesinde; Hukuk Müşavirliği'nin 10.08.2020 tarihli ve E.78015 sayılı yazıda ve 20.07.2020 tarih ve E. 12475 sayılı Başkanlık Olur'unda; Ankara İli, Altındağ İlçesi, 19956 ada 1 parselde bulunan yapıya ilişkin Üst Hakkı süresinin 28 yıl olması ve bu sürenin Vergi Kanununun belirttiği şartlara göre çok uzun olduğu; Üst Hakkı ihalesinde sadece yapı bedelinin bulunduğu, arsa bedelinin </w:t>
      </w:r>
      <w:proofErr w:type="gramStart"/>
      <w:r w:rsidRPr="00A20A71">
        <w:t>dahil</w:t>
      </w:r>
      <w:proofErr w:type="gramEnd"/>
      <w:r w:rsidRPr="00A20A71">
        <w:t xml:space="preserve"> edilmediği, şehrin merkezinde ve tarihi yapıların içerisinde bulunan yapının sadece restorasyonunun yapılması için bu kadar uzun süreli ihaleye verilmesinin kamu kaynağının kamu yaran doğrultusunda kullanılmadığı,</w:t>
      </w:r>
    </w:p>
    <w:p w:rsidR="00057675" w:rsidRPr="00A20A71" w:rsidRDefault="00057675" w:rsidP="00057675">
      <w:pPr>
        <w:pStyle w:val="Gvdemetni1"/>
        <w:shd w:val="clear" w:color="auto" w:fill="auto"/>
        <w:spacing w:line="240" w:lineRule="auto"/>
        <w:ind w:left="40" w:right="20"/>
        <w:jc w:val="both"/>
      </w:pPr>
      <w:proofErr w:type="gramStart"/>
      <w:r w:rsidRPr="00A20A71">
        <w:t xml:space="preserve">Ayrıca, Üst hakkı kullanıcısı lehine fayda sağlanarak kamu zararına sebep olunduğundan ve Sosyal Hizmetler Eğitim ve Yardım Vakfı ile yapılan Üst Hakkı sözleşmesinin "'Genel hükümler" kısmının J bendinde "Yüklenicinin yapım işinin kendisinin yapmaması durumunda, Yüklenici taşeron olarak taahhüt veren firmanın en az bu işin keşif bedeli kadar benzer iş (eski eser onarımı veya işi) </w:t>
      </w:r>
      <w:proofErr w:type="spellStart"/>
      <w:r w:rsidRPr="00A20A71">
        <w:t>bitinnesi</w:t>
      </w:r>
      <w:proofErr w:type="spellEnd"/>
      <w:r w:rsidRPr="00A20A71">
        <w:t xml:space="preserve"> ve bunu belgelendirmesi (son 15 yıl içinde alınmış iş bitirme belgesi) istenecektir. </w:t>
      </w:r>
      <w:proofErr w:type="gramEnd"/>
      <w:r w:rsidRPr="00A20A71">
        <w:t>Taşeron firmada işin yapılmasında bu şartnamede belirtilen hususlara uyacaktır. Bu şartlan yerine getirmeyen Yüklenicinin sözleşmesi feshedilecektir." belirtildiği, bu madde doğrultusunda "KA Restorasyon Peyzaj İnşaat Emlak ve Et Besicilik Gıda San. İç Dış Tic. Ltd. Şti." '</w:t>
      </w:r>
      <w:proofErr w:type="spellStart"/>
      <w:r w:rsidRPr="00A20A71">
        <w:t>nin</w:t>
      </w:r>
      <w:proofErr w:type="spellEnd"/>
      <w:r w:rsidRPr="00A20A71">
        <w:t xml:space="preserve"> </w:t>
      </w:r>
      <w:proofErr w:type="gramStart"/>
      <w:r w:rsidRPr="00A20A71">
        <w:t>müteahhit</w:t>
      </w:r>
      <w:proofErr w:type="gramEnd"/>
      <w:r w:rsidRPr="00A20A71">
        <w:t xml:space="preserve"> olarak gözüktüğü, ancak yapı müteahhidi ile ilgili olarak şartlar sağlandığına dair hiçbir belge bulunmadığı, eğer evraklar istenilmeden yapı müteahhidi bu işi bitirmiş ise Üst Hakkı Sözleşme şartlarının yerine</w:t>
      </w:r>
    </w:p>
    <w:p w:rsidR="00057675" w:rsidRPr="00A20A71" w:rsidRDefault="00057675" w:rsidP="00057675">
      <w:pPr>
        <w:pStyle w:val="Gvdemetni1"/>
        <w:shd w:val="clear" w:color="auto" w:fill="auto"/>
        <w:spacing w:line="240" w:lineRule="auto"/>
        <w:ind w:left="40" w:right="20"/>
        <w:jc w:val="both"/>
      </w:pPr>
    </w:p>
    <w:p w:rsidR="00057675" w:rsidRPr="00A20A71" w:rsidRDefault="00057675" w:rsidP="00057675">
      <w:pPr>
        <w:pStyle w:val="Gvdemetni1"/>
        <w:shd w:val="clear" w:color="auto" w:fill="auto"/>
        <w:spacing w:line="240" w:lineRule="auto"/>
        <w:ind w:left="40" w:firstLine="920"/>
        <w:jc w:val="both"/>
      </w:pPr>
      <w:r w:rsidRPr="00A20A71">
        <w:t>Özetle, üst hakkı sözleşmesi şartlarının yerine getirilmediği anlaşılmaktadır.</w:t>
      </w:r>
    </w:p>
    <w:p w:rsidR="00057675" w:rsidRPr="00A20A71" w:rsidRDefault="00057675" w:rsidP="00057675">
      <w:pPr>
        <w:pStyle w:val="Gvdemetni30"/>
        <w:shd w:val="clear" w:color="auto" w:fill="auto"/>
        <w:spacing w:line="240" w:lineRule="auto"/>
        <w:ind w:left="40" w:right="20"/>
        <w:rPr>
          <w:rStyle w:val="Gvdemetni3talikdeil"/>
          <w:rFonts w:eastAsia="Calibri"/>
        </w:rPr>
      </w:pPr>
      <w:r w:rsidRPr="00A20A71">
        <w:rPr>
          <w:rStyle w:val="Gvdemetni3talikdeil"/>
          <w:rFonts w:eastAsia="Calibri"/>
        </w:rPr>
        <w:t xml:space="preserve">4721 sayılı Türk Medeni Kanununun 831 </w:t>
      </w:r>
      <w:proofErr w:type="spellStart"/>
      <w:r w:rsidRPr="00A20A71">
        <w:rPr>
          <w:rStyle w:val="Gvdemetni3talikdeil"/>
          <w:rFonts w:eastAsia="Calibri"/>
        </w:rPr>
        <w:t>nci</w:t>
      </w:r>
      <w:proofErr w:type="spellEnd"/>
      <w:r w:rsidRPr="00A20A71">
        <w:rPr>
          <w:rStyle w:val="Gvdemetni3talikdeil"/>
          <w:rFonts w:eastAsia="Calibri"/>
        </w:rPr>
        <w:t xml:space="preserve"> maddesinde,"Üst</w:t>
      </w:r>
      <w:r w:rsidRPr="00A20A71">
        <w:rPr>
          <w:b/>
          <w:i/>
        </w:rPr>
        <w:t xml:space="preserve"> hakkı sahibi, bu haktan doğan yetkilerinin sınırını ağır şekilde aşar veya sözleşmeden doğan yükümlülüklerine önemli ölçüde aykırı davranırsa; malik, üst hakkının ona bağlı bütün hak ve yükümlülükleri ile birlikte süresinden önce kendisine devrini isteyebilir,</w:t>
      </w:r>
      <w:r w:rsidRPr="00A20A71">
        <w:rPr>
          <w:rStyle w:val="Gvdemetni3talikdeil"/>
          <w:rFonts w:eastAsia="Calibri"/>
        </w:rPr>
        <w:t>"hükmü yer almaktadır.</w:t>
      </w:r>
    </w:p>
    <w:p w:rsidR="00057675" w:rsidRPr="00A20A71" w:rsidRDefault="00057675" w:rsidP="00057675">
      <w:pPr>
        <w:pStyle w:val="Gvdemetni30"/>
        <w:shd w:val="clear" w:color="auto" w:fill="auto"/>
        <w:spacing w:line="240" w:lineRule="auto"/>
        <w:ind w:left="40" w:right="20"/>
      </w:pPr>
    </w:p>
    <w:p w:rsidR="00057675" w:rsidRDefault="00057675" w:rsidP="00057675">
      <w:pPr>
        <w:pStyle w:val="Gvdemetni1"/>
        <w:shd w:val="clear" w:color="auto" w:fill="auto"/>
        <w:spacing w:line="240" w:lineRule="auto"/>
        <w:ind w:left="40" w:right="20" w:firstLine="668"/>
        <w:jc w:val="both"/>
      </w:pPr>
      <w:r w:rsidRPr="00A20A71">
        <w:t xml:space="preserve">Bu nedenler, ilgide kayıtlı Teftiş Kurulu Başkanlığı raporu ve Hukuk Müşavirliği görüşü doğrultusunda Altındağ İlçesi, </w:t>
      </w:r>
      <w:proofErr w:type="spellStart"/>
      <w:r w:rsidRPr="00A20A71">
        <w:t>Hacıbayram</w:t>
      </w:r>
      <w:proofErr w:type="spellEnd"/>
      <w:r w:rsidRPr="00A20A71">
        <w:t xml:space="preserve"> Mahallesi 19956 ada 1 parselde bulunan söz konusu üst hakkı sözleşmesinin fesih edilmesi</w:t>
      </w:r>
      <w:r>
        <w:t>ne ilişkin teklifin reddi komisyonumuzca oyçokluğuyla uygun görülmüştür.</w:t>
      </w:r>
    </w:p>
    <w:p w:rsidR="00057675" w:rsidRPr="00A20A71" w:rsidRDefault="00057675" w:rsidP="00057675">
      <w:pPr>
        <w:pStyle w:val="Gvdemetni1"/>
        <w:shd w:val="clear" w:color="auto" w:fill="auto"/>
        <w:spacing w:line="240" w:lineRule="auto"/>
        <w:ind w:left="40" w:right="20" w:firstLine="668"/>
        <w:jc w:val="both"/>
      </w:pPr>
      <w:r w:rsidRPr="00A20A71">
        <w:t xml:space="preserve"> </w:t>
      </w:r>
    </w:p>
    <w:p w:rsidR="00057675" w:rsidRDefault="00057675" w:rsidP="00057675">
      <w:pPr>
        <w:tabs>
          <w:tab w:val="left" w:pos="709"/>
          <w:tab w:val="left" w:pos="3828"/>
          <w:tab w:val="left" w:pos="4678"/>
          <w:tab w:val="left" w:pos="5387"/>
          <w:tab w:val="left" w:pos="9356"/>
        </w:tabs>
        <w:contextualSpacing/>
        <w:jc w:val="both"/>
        <w:rPr>
          <w:sz w:val="22"/>
          <w:szCs w:val="22"/>
        </w:rPr>
      </w:pPr>
      <w:r w:rsidRPr="00A20A71">
        <w:rPr>
          <w:sz w:val="22"/>
          <w:szCs w:val="22"/>
        </w:rPr>
        <w:tab/>
        <w:t>Raporumuz Büyükşehir Belediye Meclisinin onayına arz olunur.</w:t>
      </w:r>
    </w:p>
    <w:p w:rsidR="00057675" w:rsidRDefault="00057675" w:rsidP="00057675">
      <w:pPr>
        <w:tabs>
          <w:tab w:val="left" w:pos="709"/>
          <w:tab w:val="left" w:pos="3828"/>
          <w:tab w:val="left" w:pos="4678"/>
          <w:tab w:val="left" w:pos="5387"/>
          <w:tab w:val="left" w:pos="9356"/>
        </w:tabs>
        <w:contextualSpacing/>
        <w:jc w:val="both"/>
      </w:pPr>
    </w:p>
    <w:p w:rsidR="00057675" w:rsidRDefault="00057675" w:rsidP="00057675">
      <w:pPr>
        <w:tabs>
          <w:tab w:val="left" w:pos="709"/>
          <w:tab w:val="left" w:pos="3828"/>
          <w:tab w:val="left" w:pos="4678"/>
          <w:tab w:val="left" w:pos="5387"/>
          <w:tab w:val="left" w:pos="9072"/>
        </w:tabs>
        <w:contextualSpacing/>
        <w:jc w:val="both"/>
      </w:pPr>
    </w:p>
    <w:tbl>
      <w:tblPr>
        <w:tblpPr w:leftFromText="141" w:rightFromText="141" w:vertAnchor="text" w:tblpY="-74"/>
        <w:tblW w:w="9320" w:type="dxa"/>
        <w:shd w:val="clear" w:color="auto" w:fill="FFFFFF" w:themeFill="background1"/>
        <w:tblLook w:val="04A0"/>
      </w:tblPr>
      <w:tblGrid>
        <w:gridCol w:w="3106"/>
        <w:gridCol w:w="3106"/>
        <w:gridCol w:w="3108"/>
      </w:tblGrid>
      <w:tr w:rsidR="00057675" w:rsidRPr="00151DBB" w:rsidTr="00057675">
        <w:trPr>
          <w:trHeight w:val="750"/>
        </w:trPr>
        <w:tc>
          <w:tcPr>
            <w:tcW w:w="3106" w:type="dxa"/>
            <w:shd w:val="clear" w:color="auto" w:fill="FFFFFF" w:themeFill="background1"/>
          </w:tcPr>
          <w:p w:rsidR="00057675" w:rsidRPr="002132F7" w:rsidRDefault="00057675" w:rsidP="00091632">
            <w:pPr>
              <w:jc w:val="center"/>
              <w:rPr>
                <w:sz w:val="22"/>
                <w:szCs w:val="22"/>
              </w:rPr>
            </w:pPr>
            <w:r w:rsidRPr="002132F7">
              <w:rPr>
                <w:sz w:val="22"/>
                <w:szCs w:val="22"/>
              </w:rPr>
              <w:t>Ercan KINACI</w:t>
            </w:r>
          </w:p>
          <w:p w:rsidR="00057675" w:rsidRPr="002132F7" w:rsidRDefault="00057675" w:rsidP="00091632">
            <w:pPr>
              <w:jc w:val="center"/>
              <w:rPr>
                <w:sz w:val="22"/>
                <w:szCs w:val="22"/>
              </w:rPr>
            </w:pPr>
            <w:r w:rsidRPr="002132F7">
              <w:rPr>
                <w:sz w:val="22"/>
                <w:szCs w:val="22"/>
              </w:rPr>
              <w:t xml:space="preserve">Hukuk ve Tarifeler </w:t>
            </w:r>
            <w:proofErr w:type="spellStart"/>
            <w:r w:rsidRPr="002132F7">
              <w:rPr>
                <w:sz w:val="22"/>
                <w:szCs w:val="22"/>
              </w:rPr>
              <w:t>Koms</w:t>
            </w:r>
            <w:proofErr w:type="spellEnd"/>
            <w:r w:rsidRPr="002132F7">
              <w:rPr>
                <w:sz w:val="22"/>
                <w:szCs w:val="22"/>
              </w:rPr>
              <w:t xml:space="preserve">. </w:t>
            </w:r>
            <w:proofErr w:type="spellStart"/>
            <w:r w:rsidRPr="002132F7">
              <w:rPr>
                <w:sz w:val="22"/>
                <w:szCs w:val="22"/>
              </w:rPr>
              <w:t>Başk</w:t>
            </w:r>
            <w:proofErr w:type="spellEnd"/>
            <w:r w:rsidRPr="002132F7">
              <w:rPr>
                <w:sz w:val="22"/>
                <w:szCs w:val="22"/>
              </w:rPr>
              <w:t>.</w:t>
            </w:r>
          </w:p>
        </w:tc>
        <w:tc>
          <w:tcPr>
            <w:tcW w:w="3106" w:type="dxa"/>
            <w:shd w:val="clear" w:color="auto" w:fill="FFFFFF" w:themeFill="background1"/>
          </w:tcPr>
          <w:p w:rsidR="00057675" w:rsidRPr="002132F7" w:rsidRDefault="00057675" w:rsidP="00091632">
            <w:pPr>
              <w:jc w:val="center"/>
              <w:rPr>
                <w:sz w:val="22"/>
                <w:szCs w:val="22"/>
              </w:rPr>
            </w:pPr>
            <w:r w:rsidRPr="002132F7">
              <w:rPr>
                <w:sz w:val="22"/>
                <w:szCs w:val="22"/>
              </w:rPr>
              <w:t>Abdullah Emin TEKİN</w:t>
            </w:r>
          </w:p>
          <w:p w:rsidR="00057675" w:rsidRPr="002132F7" w:rsidRDefault="00057675" w:rsidP="00091632">
            <w:pPr>
              <w:jc w:val="center"/>
              <w:rPr>
                <w:sz w:val="22"/>
                <w:szCs w:val="22"/>
              </w:rPr>
            </w:pPr>
            <w:r w:rsidRPr="002132F7">
              <w:rPr>
                <w:sz w:val="22"/>
                <w:szCs w:val="22"/>
              </w:rPr>
              <w:t>Başkan Vekili</w:t>
            </w:r>
          </w:p>
        </w:tc>
        <w:tc>
          <w:tcPr>
            <w:tcW w:w="3108" w:type="dxa"/>
            <w:shd w:val="clear" w:color="auto" w:fill="FFFFFF" w:themeFill="background1"/>
          </w:tcPr>
          <w:p w:rsidR="00057675" w:rsidRPr="002132F7" w:rsidRDefault="00057675" w:rsidP="00091632">
            <w:pPr>
              <w:jc w:val="center"/>
              <w:rPr>
                <w:sz w:val="22"/>
                <w:szCs w:val="22"/>
              </w:rPr>
            </w:pPr>
            <w:proofErr w:type="spellStart"/>
            <w:r w:rsidRPr="002132F7">
              <w:rPr>
                <w:sz w:val="22"/>
                <w:szCs w:val="22"/>
              </w:rPr>
              <w:t>Aysun</w:t>
            </w:r>
            <w:proofErr w:type="spellEnd"/>
            <w:r w:rsidRPr="002132F7">
              <w:rPr>
                <w:sz w:val="22"/>
                <w:szCs w:val="22"/>
              </w:rPr>
              <w:t xml:space="preserve"> Liman YAŞACAN</w:t>
            </w:r>
          </w:p>
          <w:p w:rsidR="00057675" w:rsidRPr="002132F7" w:rsidRDefault="00057675" w:rsidP="00091632">
            <w:pPr>
              <w:jc w:val="center"/>
              <w:rPr>
                <w:sz w:val="22"/>
                <w:szCs w:val="22"/>
              </w:rPr>
            </w:pPr>
            <w:r w:rsidRPr="002132F7">
              <w:rPr>
                <w:sz w:val="22"/>
                <w:szCs w:val="22"/>
              </w:rPr>
              <w:t>Üye</w:t>
            </w:r>
          </w:p>
        </w:tc>
      </w:tr>
      <w:tr w:rsidR="00057675" w:rsidRPr="00151DBB" w:rsidTr="00057675">
        <w:trPr>
          <w:trHeight w:val="750"/>
        </w:trPr>
        <w:tc>
          <w:tcPr>
            <w:tcW w:w="3106" w:type="dxa"/>
            <w:shd w:val="clear" w:color="auto" w:fill="FFFFFF" w:themeFill="background1"/>
            <w:vAlign w:val="center"/>
          </w:tcPr>
          <w:p w:rsidR="00057675" w:rsidRPr="002132F7" w:rsidRDefault="00057675" w:rsidP="00091632">
            <w:pPr>
              <w:jc w:val="center"/>
              <w:rPr>
                <w:sz w:val="22"/>
                <w:szCs w:val="22"/>
              </w:rPr>
            </w:pPr>
            <w:r w:rsidRPr="002132F7">
              <w:rPr>
                <w:sz w:val="22"/>
                <w:szCs w:val="22"/>
              </w:rPr>
              <w:t>Burak KOCA</w:t>
            </w:r>
          </w:p>
          <w:p w:rsidR="00057675" w:rsidRPr="002132F7" w:rsidRDefault="00057675" w:rsidP="00091632">
            <w:pPr>
              <w:jc w:val="center"/>
              <w:rPr>
                <w:sz w:val="22"/>
                <w:szCs w:val="22"/>
              </w:rPr>
            </w:pPr>
            <w:r w:rsidRPr="002132F7">
              <w:rPr>
                <w:sz w:val="22"/>
                <w:szCs w:val="22"/>
              </w:rPr>
              <w:t>Üye</w:t>
            </w:r>
          </w:p>
        </w:tc>
        <w:tc>
          <w:tcPr>
            <w:tcW w:w="3106" w:type="dxa"/>
            <w:shd w:val="clear" w:color="auto" w:fill="FFFFFF" w:themeFill="background1"/>
            <w:vAlign w:val="center"/>
          </w:tcPr>
          <w:p w:rsidR="00057675" w:rsidRPr="002132F7" w:rsidRDefault="00057675" w:rsidP="00091632">
            <w:pPr>
              <w:jc w:val="center"/>
              <w:rPr>
                <w:sz w:val="22"/>
                <w:szCs w:val="22"/>
              </w:rPr>
            </w:pPr>
            <w:r w:rsidRPr="002132F7">
              <w:rPr>
                <w:sz w:val="22"/>
                <w:szCs w:val="22"/>
              </w:rPr>
              <w:t>Edip BALCI</w:t>
            </w:r>
          </w:p>
          <w:p w:rsidR="00057675" w:rsidRPr="002132F7" w:rsidRDefault="00057675" w:rsidP="00091632">
            <w:pPr>
              <w:jc w:val="center"/>
              <w:rPr>
                <w:sz w:val="22"/>
                <w:szCs w:val="22"/>
              </w:rPr>
            </w:pPr>
            <w:r w:rsidRPr="002132F7">
              <w:rPr>
                <w:sz w:val="22"/>
                <w:szCs w:val="22"/>
              </w:rPr>
              <w:t>Üye</w:t>
            </w:r>
          </w:p>
        </w:tc>
        <w:tc>
          <w:tcPr>
            <w:tcW w:w="3108" w:type="dxa"/>
            <w:shd w:val="clear" w:color="auto" w:fill="FFFFFF" w:themeFill="background1"/>
            <w:vAlign w:val="center"/>
          </w:tcPr>
          <w:p w:rsidR="00057675" w:rsidRPr="002132F7" w:rsidRDefault="00057675" w:rsidP="00091632">
            <w:pPr>
              <w:jc w:val="center"/>
              <w:rPr>
                <w:sz w:val="22"/>
                <w:szCs w:val="22"/>
              </w:rPr>
            </w:pPr>
            <w:r w:rsidRPr="002132F7">
              <w:rPr>
                <w:sz w:val="22"/>
                <w:szCs w:val="22"/>
              </w:rPr>
              <w:t>Mehmet ÜÇÖZ</w:t>
            </w:r>
          </w:p>
          <w:p w:rsidR="00057675" w:rsidRPr="002132F7" w:rsidRDefault="00057675" w:rsidP="00091632">
            <w:pPr>
              <w:jc w:val="center"/>
              <w:rPr>
                <w:sz w:val="22"/>
                <w:szCs w:val="22"/>
              </w:rPr>
            </w:pPr>
            <w:r w:rsidRPr="002132F7">
              <w:rPr>
                <w:sz w:val="22"/>
                <w:szCs w:val="22"/>
              </w:rPr>
              <w:t>Üye</w:t>
            </w:r>
          </w:p>
        </w:tc>
      </w:tr>
      <w:tr w:rsidR="00057675" w:rsidRPr="00151DBB" w:rsidTr="00057675">
        <w:trPr>
          <w:trHeight w:val="750"/>
        </w:trPr>
        <w:tc>
          <w:tcPr>
            <w:tcW w:w="3106" w:type="dxa"/>
            <w:shd w:val="clear" w:color="auto" w:fill="FFFFFF" w:themeFill="background1"/>
            <w:vAlign w:val="bottom"/>
          </w:tcPr>
          <w:p w:rsidR="00057675" w:rsidRPr="002132F7" w:rsidRDefault="00057675" w:rsidP="00091632">
            <w:pPr>
              <w:jc w:val="center"/>
              <w:rPr>
                <w:sz w:val="22"/>
                <w:szCs w:val="22"/>
              </w:rPr>
            </w:pPr>
            <w:r w:rsidRPr="002132F7">
              <w:rPr>
                <w:sz w:val="22"/>
                <w:szCs w:val="22"/>
              </w:rPr>
              <w:t>Ömer KOÇAK</w:t>
            </w:r>
          </w:p>
          <w:p w:rsidR="00057675" w:rsidRDefault="00057675" w:rsidP="00091632">
            <w:pPr>
              <w:jc w:val="center"/>
              <w:rPr>
                <w:sz w:val="22"/>
                <w:szCs w:val="22"/>
              </w:rPr>
            </w:pPr>
            <w:r w:rsidRPr="002132F7">
              <w:rPr>
                <w:sz w:val="22"/>
                <w:szCs w:val="22"/>
              </w:rPr>
              <w:t>Üye</w:t>
            </w:r>
          </w:p>
          <w:p w:rsidR="00057675" w:rsidRPr="002132F7" w:rsidRDefault="00057675" w:rsidP="00091632">
            <w:pPr>
              <w:jc w:val="center"/>
              <w:rPr>
                <w:sz w:val="22"/>
                <w:szCs w:val="22"/>
              </w:rPr>
            </w:pPr>
            <w:r>
              <w:rPr>
                <w:sz w:val="22"/>
                <w:szCs w:val="22"/>
              </w:rPr>
              <w:t>(Muhalif)</w:t>
            </w:r>
          </w:p>
        </w:tc>
        <w:tc>
          <w:tcPr>
            <w:tcW w:w="3106" w:type="dxa"/>
            <w:shd w:val="clear" w:color="auto" w:fill="FFFFFF" w:themeFill="background1"/>
            <w:vAlign w:val="bottom"/>
          </w:tcPr>
          <w:p w:rsidR="00057675" w:rsidRPr="002132F7" w:rsidRDefault="00057675" w:rsidP="00091632">
            <w:pPr>
              <w:jc w:val="center"/>
              <w:rPr>
                <w:sz w:val="22"/>
                <w:szCs w:val="22"/>
              </w:rPr>
            </w:pPr>
            <w:r w:rsidRPr="002132F7">
              <w:rPr>
                <w:sz w:val="22"/>
                <w:szCs w:val="22"/>
              </w:rPr>
              <w:t>Haydar DEMİR</w:t>
            </w:r>
          </w:p>
          <w:p w:rsidR="00057675" w:rsidRDefault="00057675" w:rsidP="00091632">
            <w:pPr>
              <w:jc w:val="center"/>
              <w:rPr>
                <w:sz w:val="22"/>
                <w:szCs w:val="22"/>
              </w:rPr>
            </w:pPr>
            <w:r w:rsidRPr="002132F7">
              <w:rPr>
                <w:sz w:val="22"/>
                <w:szCs w:val="22"/>
              </w:rPr>
              <w:t>Üye</w:t>
            </w:r>
          </w:p>
          <w:p w:rsidR="00057675" w:rsidRPr="002132F7" w:rsidRDefault="00057675" w:rsidP="00091632">
            <w:pPr>
              <w:jc w:val="center"/>
              <w:rPr>
                <w:sz w:val="22"/>
                <w:szCs w:val="22"/>
              </w:rPr>
            </w:pPr>
            <w:r>
              <w:rPr>
                <w:sz w:val="22"/>
                <w:szCs w:val="22"/>
              </w:rPr>
              <w:t>(Muhalif)</w:t>
            </w:r>
          </w:p>
        </w:tc>
        <w:tc>
          <w:tcPr>
            <w:tcW w:w="3108" w:type="dxa"/>
            <w:shd w:val="clear" w:color="auto" w:fill="FFFFFF" w:themeFill="background1"/>
            <w:vAlign w:val="bottom"/>
          </w:tcPr>
          <w:p w:rsidR="00057675" w:rsidRPr="002132F7" w:rsidRDefault="00057675" w:rsidP="00091632">
            <w:pPr>
              <w:jc w:val="center"/>
              <w:rPr>
                <w:sz w:val="22"/>
                <w:szCs w:val="22"/>
              </w:rPr>
            </w:pPr>
            <w:r w:rsidRPr="002132F7">
              <w:rPr>
                <w:sz w:val="22"/>
                <w:szCs w:val="22"/>
              </w:rPr>
              <w:t>Selim ÇIRPANOĞLU</w:t>
            </w:r>
          </w:p>
          <w:p w:rsidR="00057675" w:rsidRDefault="00057675" w:rsidP="00091632">
            <w:pPr>
              <w:jc w:val="center"/>
              <w:rPr>
                <w:sz w:val="22"/>
                <w:szCs w:val="22"/>
              </w:rPr>
            </w:pPr>
            <w:r w:rsidRPr="002132F7">
              <w:rPr>
                <w:sz w:val="22"/>
                <w:szCs w:val="22"/>
              </w:rPr>
              <w:t>Üye</w:t>
            </w:r>
          </w:p>
          <w:p w:rsidR="00057675" w:rsidRPr="002132F7" w:rsidRDefault="00057675" w:rsidP="00091632">
            <w:pPr>
              <w:jc w:val="center"/>
              <w:rPr>
                <w:sz w:val="22"/>
                <w:szCs w:val="22"/>
              </w:rPr>
            </w:pPr>
            <w:r>
              <w:rPr>
                <w:sz w:val="22"/>
                <w:szCs w:val="22"/>
              </w:rPr>
              <w:t>(Muhalif)</w:t>
            </w:r>
          </w:p>
        </w:tc>
      </w:tr>
    </w:tbl>
    <w:p w:rsidR="00057675" w:rsidRDefault="00057675" w:rsidP="00057675">
      <w:pPr>
        <w:tabs>
          <w:tab w:val="left" w:pos="709"/>
          <w:tab w:val="left" w:pos="3828"/>
          <w:tab w:val="left" w:pos="4678"/>
          <w:tab w:val="left" w:pos="5387"/>
          <w:tab w:val="left" w:pos="9072"/>
        </w:tabs>
        <w:contextualSpacing/>
        <w:jc w:val="both"/>
      </w:pPr>
    </w:p>
    <w:p w:rsidR="00057675" w:rsidRPr="00754570" w:rsidRDefault="00057675" w:rsidP="00057675">
      <w:pPr>
        <w:autoSpaceDE w:val="0"/>
        <w:autoSpaceDN w:val="0"/>
        <w:adjustRightInd w:val="0"/>
      </w:pPr>
    </w:p>
    <w:sectPr w:rsidR="00057675"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2C341143"/>
    <w:multiLevelType w:val="hybridMultilevel"/>
    <w:tmpl w:val="108ADB7E"/>
    <w:lvl w:ilvl="0" w:tplc="052A8B26">
      <w:start w:val="1"/>
      <w:numFmt w:val="lowerLetter"/>
      <w:lvlText w:val="%1."/>
      <w:lvlJc w:val="left"/>
      <w:pPr>
        <w:ind w:left="2616" w:hanging="360"/>
      </w:pPr>
      <w:rPr>
        <w:b/>
      </w:rPr>
    </w:lvl>
    <w:lvl w:ilvl="1" w:tplc="041F0019" w:tentative="1">
      <w:start w:val="1"/>
      <w:numFmt w:val="lowerLetter"/>
      <w:lvlText w:val="%2."/>
      <w:lvlJc w:val="left"/>
      <w:pPr>
        <w:ind w:left="3336" w:hanging="360"/>
      </w:pPr>
    </w:lvl>
    <w:lvl w:ilvl="2" w:tplc="041F001B" w:tentative="1">
      <w:start w:val="1"/>
      <w:numFmt w:val="lowerRoman"/>
      <w:lvlText w:val="%3."/>
      <w:lvlJc w:val="right"/>
      <w:pPr>
        <w:ind w:left="4056" w:hanging="180"/>
      </w:pPr>
    </w:lvl>
    <w:lvl w:ilvl="3" w:tplc="041F000F" w:tentative="1">
      <w:start w:val="1"/>
      <w:numFmt w:val="decimal"/>
      <w:lvlText w:val="%4."/>
      <w:lvlJc w:val="left"/>
      <w:pPr>
        <w:ind w:left="4776" w:hanging="360"/>
      </w:pPr>
    </w:lvl>
    <w:lvl w:ilvl="4" w:tplc="041F0019" w:tentative="1">
      <w:start w:val="1"/>
      <w:numFmt w:val="lowerLetter"/>
      <w:lvlText w:val="%5."/>
      <w:lvlJc w:val="left"/>
      <w:pPr>
        <w:ind w:left="5496" w:hanging="360"/>
      </w:pPr>
    </w:lvl>
    <w:lvl w:ilvl="5" w:tplc="041F001B" w:tentative="1">
      <w:start w:val="1"/>
      <w:numFmt w:val="lowerRoman"/>
      <w:lvlText w:val="%6."/>
      <w:lvlJc w:val="right"/>
      <w:pPr>
        <w:ind w:left="6216" w:hanging="180"/>
      </w:pPr>
    </w:lvl>
    <w:lvl w:ilvl="6" w:tplc="041F000F" w:tentative="1">
      <w:start w:val="1"/>
      <w:numFmt w:val="decimal"/>
      <w:lvlText w:val="%7."/>
      <w:lvlJc w:val="left"/>
      <w:pPr>
        <w:ind w:left="6936" w:hanging="360"/>
      </w:pPr>
    </w:lvl>
    <w:lvl w:ilvl="7" w:tplc="041F0019" w:tentative="1">
      <w:start w:val="1"/>
      <w:numFmt w:val="lowerLetter"/>
      <w:lvlText w:val="%8."/>
      <w:lvlJc w:val="left"/>
      <w:pPr>
        <w:ind w:left="7656" w:hanging="360"/>
      </w:pPr>
    </w:lvl>
    <w:lvl w:ilvl="8" w:tplc="041F001B" w:tentative="1">
      <w:start w:val="1"/>
      <w:numFmt w:val="lowerRoman"/>
      <w:lvlText w:val="%9."/>
      <w:lvlJc w:val="right"/>
      <w:pPr>
        <w:ind w:left="8376" w:hanging="180"/>
      </w:pPr>
    </w:lvl>
  </w:abstractNum>
  <w:abstractNum w:abstractNumId="6">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756FA4"/>
    <w:multiLevelType w:val="multilevel"/>
    <w:tmpl w:val="E472977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4">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6"/>
  </w:num>
  <w:num w:numId="4">
    <w:abstractNumId w:val="10"/>
  </w:num>
  <w:num w:numId="5">
    <w:abstractNumId w:val="11"/>
  </w:num>
  <w:num w:numId="6">
    <w:abstractNumId w:val="12"/>
  </w:num>
  <w:num w:numId="7">
    <w:abstractNumId w:val="8"/>
  </w:num>
  <w:num w:numId="8">
    <w:abstractNumId w:val="14"/>
  </w:num>
  <w:num w:numId="9">
    <w:abstractNumId w:val="15"/>
  </w:num>
  <w:num w:numId="10">
    <w:abstractNumId w:val="3"/>
  </w:num>
  <w:num w:numId="11">
    <w:abstractNumId w:val="13"/>
  </w:num>
  <w:num w:numId="12">
    <w:abstractNumId w:val="4"/>
  </w:num>
  <w:num w:numId="13">
    <w:abstractNumId w:val="9"/>
  </w:num>
  <w:num w:numId="14">
    <w:abstractNumId w:val="7"/>
  </w:num>
  <w:num w:numId="15">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21B"/>
    <w:rsid w:val="0000133F"/>
    <w:rsid w:val="00003874"/>
    <w:rsid w:val="00003E8A"/>
    <w:rsid w:val="00005C47"/>
    <w:rsid w:val="000066D6"/>
    <w:rsid w:val="00007574"/>
    <w:rsid w:val="0001039E"/>
    <w:rsid w:val="00014633"/>
    <w:rsid w:val="00015EBB"/>
    <w:rsid w:val="000178BB"/>
    <w:rsid w:val="00017A20"/>
    <w:rsid w:val="00020159"/>
    <w:rsid w:val="00020A32"/>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7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57675"/>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7C53"/>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15F"/>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996"/>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42EC"/>
    <w:rsid w:val="001C50B9"/>
    <w:rsid w:val="001C633A"/>
    <w:rsid w:val="001C7425"/>
    <w:rsid w:val="001D087E"/>
    <w:rsid w:val="001D0F4C"/>
    <w:rsid w:val="001D16CD"/>
    <w:rsid w:val="001D2231"/>
    <w:rsid w:val="001D3B92"/>
    <w:rsid w:val="001D4143"/>
    <w:rsid w:val="001D4AF2"/>
    <w:rsid w:val="001D5BF7"/>
    <w:rsid w:val="001D5EE6"/>
    <w:rsid w:val="001D6EE9"/>
    <w:rsid w:val="001E0278"/>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43A"/>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92F"/>
    <w:rsid w:val="00344E59"/>
    <w:rsid w:val="00347E4C"/>
    <w:rsid w:val="00347F05"/>
    <w:rsid w:val="00350222"/>
    <w:rsid w:val="0035049A"/>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719"/>
    <w:rsid w:val="003E4B67"/>
    <w:rsid w:val="003E52E1"/>
    <w:rsid w:val="003E6F7E"/>
    <w:rsid w:val="003E6FC4"/>
    <w:rsid w:val="003E7735"/>
    <w:rsid w:val="003E78DF"/>
    <w:rsid w:val="003E7C7A"/>
    <w:rsid w:val="003E7D57"/>
    <w:rsid w:val="003F0CC5"/>
    <w:rsid w:val="003F1550"/>
    <w:rsid w:val="003F2044"/>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A93"/>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3776"/>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989"/>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4432"/>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3AB5"/>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079B3"/>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1B9B"/>
    <w:rsid w:val="00652995"/>
    <w:rsid w:val="006539FD"/>
    <w:rsid w:val="00653A45"/>
    <w:rsid w:val="006549E9"/>
    <w:rsid w:val="00655588"/>
    <w:rsid w:val="006555B1"/>
    <w:rsid w:val="006574B3"/>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A25"/>
    <w:rsid w:val="00697CF3"/>
    <w:rsid w:val="006A150F"/>
    <w:rsid w:val="006A178A"/>
    <w:rsid w:val="006A1F8B"/>
    <w:rsid w:val="006A2533"/>
    <w:rsid w:val="006A3171"/>
    <w:rsid w:val="006A41D7"/>
    <w:rsid w:val="006A4FD3"/>
    <w:rsid w:val="006A5CD2"/>
    <w:rsid w:val="006A5FA2"/>
    <w:rsid w:val="006A6856"/>
    <w:rsid w:val="006A7C31"/>
    <w:rsid w:val="006A7F9E"/>
    <w:rsid w:val="006B0658"/>
    <w:rsid w:val="006B06CD"/>
    <w:rsid w:val="006B1F54"/>
    <w:rsid w:val="006B2AEF"/>
    <w:rsid w:val="006B311F"/>
    <w:rsid w:val="006B4124"/>
    <w:rsid w:val="006B499F"/>
    <w:rsid w:val="006B5B25"/>
    <w:rsid w:val="006B6A43"/>
    <w:rsid w:val="006B6EC3"/>
    <w:rsid w:val="006C033F"/>
    <w:rsid w:val="006C087A"/>
    <w:rsid w:val="006C1077"/>
    <w:rsid w:val="006C22FC"/>
    <w:rsid w:val="006C2E54"/>
    <w:rsid w:val="006C2E9A"/>
    <w:rsid w:val="006C3903"/>
    <w:rsid w:val="006C4171"/>
    <w:rsid w:val="006C54ED"/>
    <w:rsid w:val="006C5818"/>
    <w:rsid w:val="006C5FCB"/>
    <w:rsid w:val="006C6C35"/>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1E3A"/>
    <w:rsid w:val="0077229F"/>
    <w:rsid w:val="007724A7"/>
    <w:rsid w:val="007729A9"/>
    <w:rsid w:val="0077332B"/>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639"/>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1B5"/>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B2"/>
    <w:rsid w:val="008A7E1C"/>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1A7A"/>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1FD3"/>
    <w:rsid w:val="00A72276"/>
    <w:rsid w:val="00A72620"/>
    <w:rsid w:val="00A729CD"/>
    <w:rsid w:val="00A75BA4"/>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261"/>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448"/>
    <w:rsid w:val="00B007F4"/>
    <w:rsid w:val="00B00C8A"/>
    <w:rsid w:val="00B00E4E"/>
    <w:rsid w:val="00B01898"/>
    <w:rsid w:val="00B02BCB"/>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5867"/>
    <w:rsid w:val="00B2661E"/>
    <w:rsid w:val="00B272D6"/>
    <w:rsid w:val="00B3085B"/>
    <w:rsid w:val="00B30C1C"/>
    <w:rsid w:val="00B3154E"/>
    <w:rsid w:val="00B322EC"/>
    <w:rsid w:val="00B32367"/>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A1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B7D15"/>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21"/>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633"/>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360C"/>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6B85"/>
    <w:rsid w:val="00D17B30"/>
    <w:rsid w:val="00D17D63"/>
    <w:rsid w:val="00D20C98"/>
    <w:rsid w:val="00D22240"/>
    <w:rsid w:val="00D23CBC"/>
    <w:rsid w:val="00D24026"/>
    <w:rsid w:val="00D2487F"/>
    <w:rsid w:val="00D2490E"/>
    <w:rsid w:val="00D261B7"/>
    <w:rsid w:val="00D262FF"/>
    <w:rsid w:val="00D269A6"/>
    <w:rsid w:val="00D270FC"/>
    <w:rsid w:val="00D27E19"/>
    <w:rsid w:val="00D3157D"/>
    <w:rsid w:val="00D31BB4"/>
    <w:rsid w:val="00D31F99"/>
    <w:rsid w:val="00D32F2C"/>
    <w:rsid w:val="00D33C40"/>
    <w:rsid w:val="00D34212"/>
    <w:rsid w:val="00D3423C"/>
    <w:rsid w:val="00D34975"/>
    <w:rsid w:val="00D36AF7"/>
    <w:rsid w:val="00D40DA9"/>
    <w:rsid w:val="00D41527"/>
    <w:rsid w:val="00D4152F"/>
    <w:rsid w:val="00D42186"/>
    <w:rsid w:val="00D423D6"/>
    <w:rsid w:val="00D42D9A"/>
    <w:rsid w:val="00D4318E"/>
    <w:rsid w:val="00D431DC"/>
    <w:rsid w:val="00D43AE9"/>
    <w:rsid w:val="00D44488"/>
    <w:rsid w:val="00D45717"/>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1FB"/>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48BD"/>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290D"/>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3CC1"/>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33F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13E4"/>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5E1C"/>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4E5B"/>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 w:type="character" w:customStyle="1" w:styleId="Gvdemetni20">
    <w:name w:val="Gövde metni (2)_"/>
    <w:basedOn w:val="VarsaylanParagrafYazTipi"/>
    <w:link w:val="Gvdemetni22"/>
    <w:rsid w:val="00FC4E5B"/>
    <w:rPr>
      <w:sz w:val="15"/>
      <w:szCs w:val="15"/>
      <w:shd w:val="clear" w:color="auto" w:fill="FFFFFF"/>
    </w:rPr>
  </w:style>
  <w:style w:type="paragraph" w:customStyle="1" w:styleId="Gvdemetni22">
    <w:name w:val="Gövde metni (2)"/>
    <w:basedOn w:val="Normal"/>
    <w:link w:val="Gvdemetni20"/>
    <w:rsid w:val="00FC4E5B"/>
    <w:pPr>
      <w:shd w:val="clear" w:color="auto" w:fill="FFFFFF"/>
      <w:spacing w:line="0" w:lineRule="atLeast"/>
    </w:pPr>
    <w:rPr>
      <w:sz w:val="15"/>
      <w:szCs w:val="15"/>
    </w:rPr>
  </w:style>
  <w:style w:type="character" w:customStyle="1" w:styleId="Balk20">
    <w:name w:val="Başlık #2"/>
    <w:basedOn w:val="VarsaylanParagrafYazTipi"/>
    <w:rsid w:val="0077332B"/>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3talikdeil">
    <w:name w:val="Gövde metni (3) + İtalik değil"/>
    <w:basedOn w:val="Gvdemetni3"/>
    <w:rsid w:val="00651B9B"/>
    <w:rPr>
      <w:rFonts w:ascii="Times New Roman" w:eastAsia="Times New Roman" w:hAnsi="Times New Roman" w:cs="Times New Roman"/>
      <w:b w:val="0"/>
      <w:bCs w:val="0"/>
      <w:i/>
      <w:iCs/>
      <w:smallCaps w:val="0"/>
      <w:strike w:val="0"/>
      <w:spacing w:val="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F4A90-29E4-4924-AC29-B9CE76E9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762</Words>
  <Characters>5094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2020-10-14T12:40:00Z</cp:lastPrinted>
  <dcterms:created xsi:type="dcterms:W3CDTF">2020-10-14T09:43:00Z</dcterms:created>
  <dcterms:modified xsi:type="dcterms:W3CDTF">2020-10-16T07:33:00Z</dcterms:modified>
</cp:coreProperties>
</file>