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C0" w:rsidRDefault="001F4BE1" w:rsidP="002856BD">
      <w:pPr>
        <w:jc w:val="both"/>
      </w:pPr>
      <w:r>
        <w:t xml:space="preserve"> </w:t>
      </w:r>
      <w:r w:rsidR="00503193">
        <w:t xml:space="preserve">                     </w:t>
      </w:r>
    </w:p>
    <w:p w:rsidR="00805AC0" w:rsidRDefault="00805AC0" w:rsidP="002856BD">
      <w:pPr>
        <w:jc w:val="both"/>
      </w:pPr>
    </w:p>
    <w:p w:rsidR="002856BD" w:rsidRDefault="00503193" w:rsidP="002856BD">
      <w:pPr>
        <w:jc w:val="both"/>
      </w:pPr>
      <w:r>
        <w:t xml:space="preserve">    </w:t>
      </w:r>
      <w:r w:rsidR="00644093">
        <w:t xml:space="preserve">  </w:t>
      </w:r>
      <w:r w:rsidR="00805AC0">
        <w:tab/>
      </w:r>
      <w:r w:rsidR="00805AC0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894BAE" w:rsidRDefault="00894BA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23BD1">
        <w:t>8</w:t>
      </w:r>
      <w:r w:rsidR="00B43BCE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CC52E3" w:rsidRDefault="00CC52E3" w:rsidP="002856BD">
      <w:pPr>
        <w:jc w:val="both"/>
      </w:pPr>
    </w:p>
    <w:p w:rsidR="00894BAE" w:rsidRDefault="00894BAE" w:rsidP="002856BD">
      <w:pPr>
        <w:jc w:val="both"/>
      </w:pPr>
    </w:p>
    <w:p w:rsidR="00923BD1" w:rsidRDefault="002856BD" w:rsidP="00F806A2">
      <w:pPr>
        <w:ind w:right="-1"/>
        <w:jc w:val="center"/>
      </w:pPr>
      <w:r>
        <w:t>K A R A R</w:t>
      </w:r>
    </w:p>
    <w:p w:rsidR="00544FB5" w:rsidRDefault="00544FB5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B43BCE" w:rsidP="00894BAE">
      <w:pPr>
        <w:ind w:firstLine="708"/>
        <w:jc w:val="both"/>
      </w:pPr>
      <w:r>
        <w:t>Çankaya İlçesi Alacaatlı Mahallesi 60980/1 parsele ilişkin 1/1000 ölçekli uygulama imar planı değişikliğine</w:t>
      </w:r>
      <w:r w:rsidR="00894BAE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923BD1">
        <w:t>1</w:t>
      </w:r>
      <w:r>
        <w:t>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805AC0">
        <w:t>8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BE1D3F" w:rsidRPr="00104FC6" w:rsidRDefault="00BE1D3F" w:rsidP="00894BAE">
      <w:pPr>
        <w:pStyle w:val="GvdeMetni"/>
      </w:pPr>
    </w:p>
    <w:p w:rsidR="00B43BCE" w:rsidRDefault="00530CD2" w:rsidP="00B43BC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B43BCE" w:rsidRPr="00AA27E0">
        <w:rPr>
          <w:color w:val="000000"/>
        </w:rPr>
        <w:t>Çankaya Bel. Bşk. Yazı İş. Md.nün 12.06.2019 tarih E.80532 sayılı yazısı ile, Çankaya Alacaatlı Mahallesi 60980/1 sayılı parsele ilişkin 1/1000 ölçekli uygulama imar planı değişikliği teklifi Çankaya Belediye Meclisinin 11.06.2019 tarih 284 sayılı kara</w:t>
      </w:r>
      <w:r w:rsidR="00B43BCE">
        <w:rPr>
          <w:color w:val="000000"/>
        </w:rPr>
        <w:t>rı</w:t>
      </w:r>
      <w:r w:rsidR="00B43BCE" w:rsidRPr="00AA27E0">
        <w:rPr>
          <w:color w:val="000000"/>
        </w:rPr>
        <w:t xml:space="preserve"> ile uygun görülerek 5216 Sayılı Yasanın </w:t>
      </w:r>
      <w:r w:rsidR="00B43BCE">
        <w:rPr>
          <w:color w:val="000000"/>
        </w:rPr>
        <w:t>14.m</w:t>
      </w:r>
      <w:r w:rsidR="00B43BCE" w:rsidRPr="00AA27E0">
        <w:rPr>
          <w:color w:val="000000"/>
        </w:rPr>
        <w:t xml:space="preserve">addesi gereğince değerlendirilmek üzere </w:t>
      </w:r>
      <w:r w:rsidR="00B43BCE">
        <w:rPr>
          <w:color w:val="000000"/>
        </w:rPr>
        <w:t xml:space="preserve">İmar ve Şehircilik Dairesi </w:t>
      </w:r>
      <w:r w:rsidR="00B43BCE" w:rsidRPr="00AA27E0">
        <w:rPr>
          <w:color w:val="000000"/>
        </w:rPr>
        <w:t>Başkanlığı</w:t>
      </w:r>
      <w:r w:rsidR="00B43BCE">
        <w:rPr>
          <w:color w:val="000000"/>
        </w:rPr>
        <w:t>na sunulduğu,</w:t>
      </w: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Kamu Ortaklık Pay</w:t>
      </w:r>
      <w:r>
        <w:rPr>
          <w:color w:val="000000"/>
        </w:rPr>
        <w:t>ın</w:t>
      </w:r>
      <w:r w:rsidRPr="00AA27E0">
        <w:rPr>
          <w:color w:val="000000"/>
        </w:rPr>
        <w:t>dan (KOP) oluşan 12404 m</w:t>
      </w:r>
      <w:r w:rsidRPr="00AA27E0">
        <w:rPr>
          <w:color w:val="000000"/>
          <w:vertAlign w:val="superscript"/>
        </w:rPr>
        <w:t>2</w:t>
      </w:r>
      <w:r w:rsidRPr="00AA27E0">
        <w:rPr>
          <w:color w:val="000000"/>
        </w:rPr>
        <w:t xml:space="preserve"> tapu senet yüzölçümü olan 60980/1 nolu parselin; Ankara Büyükşehir Belediye Meclisinin 23/08/2001 tarih 477 sayılı kararıyla onaylı 1/5000 ölçekli </w:t>
      </w:r>
      <w:r>
        <w:rPr>
          <w:color w:val="000000"/>
        </w:rPr>
        <w:t xml:space="preserve"> </w:t>
      </w:r>
      <w:r w:rsidRPr="00AA27E0">
        <w:rPr>
          <w:color w:val="000000"/>
        </w:rPr>
        <w:t xml:space="preserve">"Güneybatı Ankara Çevre Otoyolu İçi Kentsel Gelişim Bölgesi </w:t>
      </w:r>
      <w:r w:rsidRPr="00AA27E0">
        <w:rPr>
          <w:color w:val="000000"/>
          <w:lang w:val="en-US"/>
        </w:rPr>
        <w:t xml:space="preserve">III, </w:t>
      </w:r>
      <w:r w:rsidRPr="00AA27E0">
        <w:rPr>
          <w:color w:val="000000"/>
        </w:rPr>
        <w:t xml:space="preserve">İncek, Kızılcaşar, Dodurga Köyleri ve Çevresine Ait" Nazım İmar Planı kapsamında </w:t>
      </w:r>
      <w:r>
        <w:rPr>
          <w:color w:val="000000"/>
        </w:rPr>
        <w:t xml:space="preserve"> </w:t>
      </w:r>
      <w:r w:rsidRPr="00AA27E0">
        <w:rPr>
          <w:color w:val="000000"/>
        </w:rPr>
        <w:t>"Kentsel Rekreasyon Alanı'' kullanımında kaldığı,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1/1000 ölçekli Güneybatı Ankara Çevre Otoyolu İçi 3. Bölge 9. Etap Uygulama İmar Planı Yenimahalle Belediye Meclisi'nin 04/03/2003 tarih 31 sayılı kararıyla uygun görülerek, Ankara Büyükşehir Belediye Başkanlığınca 26/09/2003 tarihli onaylı plan kapsam</w:t>
      </w:r>
      <w:r>
        <w:rPr>
          <w:color w:val="000000"/>
        </w:rPr>
        <w:t>ı</w:t>
      </w:r>
      <w:r w:rsidRPr="00AA27E0">
        <w:rPr>
          <w:color w:val="000000"/>
        </w:rPr>
        <w:t>nda da "Kentsel Rekreasyon Alanı" kullanımına kaldığı,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Daha sonra Kamu Ortaklık Pay</w:t>
      </w:r>
      <w:r>
        <w:rPr>
          <w:color w:val="000000"/>
        </w:rPr>
        <w:t>ın</w:t>
      </w:r>
      <w:r w:rsidRPr="00AA27E0">
        <w:rPr>
          <w:color w:val="000000"/>
        </w:rPr>
        <w:t>dan oluşturulan alanlar için belediyeler aleyhine kamulaştırmasız el atma davaları açıldığı ve belediyeler aleyhine yüksek kamulaştırma bedelleriyle sonuçlanmaya devam ettiğinden bahisle Ankara Büyükşehir Belediye Meclisinin 15.08.2014/1448 sayılı kara</w:t>
      </w:r>
      <w:r>
        <w:rPr>
          <w:color w:val="000000"/>
        </w:rPr>
        <w:t>rı</w:t>
      </w:r>
      <w:r w:rsidRPr="00AA27E0">
        <w:rPr>
          <w:color w:val="000000"/>
        </w:rPr>
        <w:t xml:space="preserve"> ile söz konusu parselin kullanımının E:0.10, Yençok:2 kat yapılaşma koşullarında "Ticari Rekreasyon" kullanımına dönüştürüldüğü,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1/5000 N</w:t>
      </w:r>
      <w:r>
        <w:rPr>
          <w:color w:val="000000"/>
        </w:rPr>
        <w:t>İ</w:t>
      </w:r>
      <w:r w:rsidRPr="00AA27E0">
        <w:rPr>
          <w:color w:val="000000"/>
        </w:rPr>
        <w:t xml:space="preserve">P kapsamında; 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</w:t>
      </w:r>
      <w:r w:rsidRPr="00AA27E0">
        <w:rPr>
          <w:color w:val="000000"/>
        </w:rPr>
        <w:t xml:space="preserve">-E:0.10, Yençok:2 kat olacaktır. 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2- En az ifraz koşulu 2500 m</w:t>
      </w:r>
      <w:r w:rsidRPr="00AA27E0">
        <w:rPr>
          <w:color w:val="000000"/>
          <w:vertAlign w:val="superscript"/>
        </w:rPr>
        <w:t>2</w:t>
      </w:r>
      <w:r w:rsidRPr="00AA27E0">
        <w:rPr>
          <w:color w:val="000000"/>
        </w:rPr>
        <w:t xml:space="preserve">'dir. 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şeklinde 2 adet plan notunun bulunduğu,</w:t>
      </w: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Çankaya Belediyesince söz konusu 1/5000 NİP doğrultusunda hazırlanan 1/1000 UİP kapsamında 60980/1 nolu parselin kullanımının E:0.10, Yençok:2 kat, yapı yaklaşma mesafelerinin ise parselin tüm cephelerinde yollardan 10'ar metre şeklinde yapılaşma koşullarının önerilerek 'Ticari Rekreasyon" kullanımına dönüştürüldüğü,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ind w:left="708" w:firstLine="708"/>
        <w:jc w:val="both"/>
      </w:pPr>
      <w:r>
        <w:t xml:space="preserve">      T.C.</w:t>
      </w:r>
    </w:p>
    <w:p w:rsidR="00B43BCE" w:rsidRDefault="00B43BCE" w:rsidP="00B43BCE">
      <w:pPr>
        <w:jc w:val="both"/>
      </w:pPr>
      <w:r>
        <w:t>ANKARA BÜYÜKŞEHİR BELEDİYESİ</w:t>
      </w:r>
    </w:p>
    <w:p w:rsidR="00B43BCE" w:rsidRDefault="00B43BCE" w:rsidP="00B43BCE">
      <w:pPr>
        <w:jc w:val="both"/>
      </w:pPr>
      <w:r>
        <w:t xml:space="preserve">                BELEDİYE MECLİSİ</w:t>
      </w:r>
    </w:p>
    <w:p w:rsidR="00B43BCE" w:rsidRDefault="00B43BCE" w:rsidP="00B43BCE">
      <w:pPr>
        <w:jc w:val="both"/>
      </w:pPr>
    </w:p>
    <w:p w:rsidR="00B43BCE" w:rsidRDefault="00B43BCE" w:rsidP="00B43BCE">
      <w:pPr>
        <w:tabs>
          <w:tab w:val="left" w:pos="1935"/>
        </w:tabs>
        <w:jc w:val="both"/>
      </w:pPr>
    </w:p>
    <w:p w:rsidR="00B43BCE" w:rsidRDefault="00B43BCE" w:rsidP="00B43BCE">
      <w:pPr>
        <w:tabs>
          <w:tab w:val="left" w:pos="1935"/>
        </w:tabs>
        <w:jc w:val="both"/>
      </w:pPr>
    </w:p>
    <w:p w:rsidR="00B43BCE" w:rsidRDefault="00B43BCE" w:rsidP="00B43BCE">
      <w:pPr>
        <w:jc w:val="both"/>
      </w:pPr>
      <w:r w:rsidRPr="001B032A">
        <w:t>Karar No:1</w:t>
      </w:r>
      <w:r>
        <w:t>89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11.02.2020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1/1000 Uygulama İmar Planında belirlenen plan notları ise;</w:t>
      </w: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l-'Ticari Rekreasyon Alanı' parselinde E:0.10, Yençok=2 kat olacaktır.</w:t>
      </w: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2-En az ifraz koşulu 2500 m</w:t>
      </w:r>
      <w:r w:rsidRPr="00AA27E0">
        <w:rPr>
          <w:color w:val="000000"/>
          <w:vertAlign w:val="superscript"/>
        </w:rPr>
        <w:t>2</w:t>
      </w:r>
      <w:r w:rsidRPr="00AA27E0">
        <w:rPr>
          <w:color w:val="000000"/>
        </w:rPr>
        <w:t>'dir.</w:t>
      </w: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3-Ticari rekreasyon alanında lokanta, büfe, açıkhava tiyatrosu, açık kapalı spor tesisleri, çocuk bahçeleri, oyun alanla</w:t>
      </w:r>
      <w:r>
        <w:rPr>
          <w:color w:val="000000"/>
        </w:rPr>
        <w:t>rı</w:t>
      </w:r>
      <w:r w:rsidRPr="00AA27E0">
        <w:rPr>
          <w:color w:val="000000"/>
        </w:rPr>
        <w:t>, piknik ve eğlence yerleri gibi kullanımlar yer alabilir.</w:t>
      </w: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Default="00B43BCE" w:rsidP="00B43B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4-Planda ve Plan Notlarında Belirtilmeyen Hususlarda 3194 Sayılı İmar Kanunu ve İlgili Yönetmelik Hükümleri Geçerlidir.</w:t>
      </w:r>
    </w:p>
    <w:p w:rsidR="00B43BCE" w:rsidRPr="00AA27E0" w:rsidRDefault="00B43BCE" w:rsidP="00B43BCE">
      <w:pPr>
        <w:shd w:val="clear" w:color="auto" w:fill="FFFFFF"/>
        <w:autoSpaceDE w:val="0"/>
        <w:autoSpaceDN w:val="0"/>
        <w:adjustRightInd w:val="0"/>
        <w:jc w:val="both"/>
      </w:pPr>
    </w:p>
    <w:p w:rsidR="00B43BCE" w:rsidRPr="00AA27E0" w:rsidRDefault="00B43BCE" w:rsidP="00B43BCE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AA27E0">
        <w:rPr>
          <w:color w:val="000000"/>
        </w:rPr>
        <w:t>şeklinde 4 adet plan notunun önerildiği,</w:t>
      </w:r>
    </w:p>
    <w:p w:rsidR="00B43BCE" w:rsidRPr="00AA27E0" w:rsidRDefault="00B43BCE" w:rsidP="00B43BCE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8955BF" w:rsidRDefault="00B43BCE" w:rsidP="00B43B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A27E0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“Onayı”</w:t>
      </w:r>
      <w:r w:rsidR="00923BD1">
        <w:rPr>
          <w:color w:val="000000"/>
        </w:rPr>
        <w:t xml:space="preserve">na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5C358D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013BF" w:rsidRDefault="00E013BF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1C2F04" w:rsidRDefault="001C2F0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E21EF" w:rsidRDefault="00CE21EF" w:rsidP="00CE21EF">
      <w:pPr>
        <w:jc w:val="center"/>
      </w:pPr>
    </w:p>
    <w:p w:rsidR="00CE21EF" w:rsidRPr="00C04909" w:rsidRDefault="00CE21EF" w:rsidP="00CE21EF">
      <w:pPr>
        <w:jc w:val="center"/>
      </w:pPr>
      <w:r w:rsidRPr="00C04909">
        <w:t>T.C.</w:t>
      </w:r>
    </w:p>
    <w:p w:rsidR="00CE21EF" w:rsidRPr="00C04909" w:rsidRDefault="00CE21EF" w:rsidP="00CE21EF">
      <w:pPr>
        <w:jc w:val="center"/>
      </w:pPr>
      <w:r w:rsidRPr="00C04909">
        <w:t>ANKARA BÜYÜKŞEHİR BELEDİYE MECLİSİ</w:t>
      </w:r>
    </w:p>
    <w:p w:rsidR="00CE21EF" w:rsidRDefault="00CE21EF" w:rsidP="00CE21E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E21EF" w:rsidRDefault="00CE21EF" w:rsidP="00CE21EF">
      <w:pPr>
        <w:jc w:val="center"/>
      </w:pPr>
    </w:p>
    <w:p w:rsidR="00CE21EF" w:rsidRDefault="00CE21EF" w:rsidP="00CE21EF">
      <w:pPr>
        <w:jc w:val="center"/>
      </w:pPr>
    </w:p>
    <w:p w:rsidR="00CE21EF" w:rsidRDefault="00CE21EF" w:rsidP="00CE21EF">
      <w:pPr>
        <w:jc w:val="both"/>
      </w:pPr>
      <w:r w:rsidRPr="00C04909">
        <w:t>Rapor No:</w:t>
      </w:r>
      <w:r>
        <w:t xml:space="preserve"> 384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CE21EF" w:rsidRDefault="00CE21EF" w:rsidP="00CE21EF">
      <w:pPr>
        <w:jc w:val="both"/>
      </w:pPr>
    </w:p>
    <w:p w:rsidR="00CE21EF" w:rsidRDefault="00CE21EF" w:rsidP="00CE21EF">
      <w:pPr>
        <w:jc w:val="both"/>
      </w:pPr>
    </w:p>
    <w:p w:rsidR="00CE21EF" w:rsidRPr="00CE21EF" w:rsidRDefault="00CE21EF" w:rsidP="00CE21EF">
      <w:pPr>
        <w:jc w:val="center"/>
      </w:pPr>
      <w:r w:rsidRPr="00CE21EF">
        <w:rPr>
          <w:bCs/>
        </w:rPr>
        <w:t>BÜYÜKŞEHİR BELEDİYE MECLİSİ BAŞKANLIĞINA</w:t>
      </w:r>
    </w:p>
    <w:p w:rsidR="00CE21EF" w:rsidRDefault="00CE21EF" w:rsidP="00CE21EF">
      <w:pPr>
        <w:tabs>
          <w:tab w:val="left" w:pos="0"/>
        </w:tabs>
        <w:contextualSpacing/>
        <w:jc w:val="both"/>
      </w:pPr>
    </w:p>
    <w:p w:rsidR="00CE21EF" w:rsidRDefault="00CE21EF" w:rsidP="00CE21EF">
      <w:pPr>
        <w:pStyle w:val="ListeParagraf"/>
        <w:tabs>
          <w:tab w:val="left" w:pos="0"/>
        </w:tabs>
        <w:contextualSpacing/>
        <w:jc w:val="both"/>
      </w:pPr>
    </w:p>
    <w:p w:rsidR="00CE21EF" w:rsidRDefault="00CE21EF" w:rsidP="00CE21E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Çankaya Alacaatlı Mahallesi 60980/1 parsele ilişkin 1/1000 ölçekli  uygulama imar planı değişikliğine ilişkin </w:t>
      </w:r>
      <w:r w:rsidRPr="0065455F">
        <w:t xml:space="preserve">Büyükşehir Belediye Meclisinin </w:t>
      </w:r>
      <w:r>
        <w:t>11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2</w:t>
      </w:r>
      <w:r w:rsidRPr="0065455F">
        <w:t>.gündem maddesi olarak komisyonumuza havale edilen dosya incelendi.</w:t>
      </w:r>
    </w:p>
    <w:p w:rsidR="00CE21EF" w:rsidRDefault="00CE21EF" w:rsidP="00CE21EF">
      <w:pPr>
        <w:pStyle w:val="ListeParagraf"/>
        <w:tabs>
          <w:tab w:val="left" w:pos="0"/>
        </w:tabs>
        <w:contextualSpacing/>
        <w:jc w:val="both"/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AA27E0">
        <w:t>Komisyonumuzca yapılan incelemeler neticesinde;</w:t>
      </w:r>
      <w:r w:rsidRPr="00AA27E0">
        <w:rPr>
          <w:color w:val="000000"/>
        </w:rPr>
        <w:t xml:space="preserve"> Çankaya Bel. Bşk. Yazı İş. Md.nün 12.06.2019 tarih E.80532 sayılı yazısı ile, Çankaya Alacaatlı Mahallesi 60980/1 sayılı parsele ilişkin 1/1000 ölçekli uygulama imar planı değişikliği teklifi Çankaya Belediye Meclisinin 11.06.2019 tarih 284 sayılı kara</w:t>
      </w:r>
      <w:r>
        <w:rPr>
          <w:color w:val="000000"/>
        </w:rPr>
        <w:t>rı</w:t>
      </w:r>
      <w:r w:rsidRPr="00AA27E0">
        <w:rPr>
          <w:color w:val="000000"/>
        </w:rPr>
        <w:t xml:space="preserve"> ile uygun görülerek 5216 Sayılı Yasanın </w:t>
      </w:r>
      <w:r>
        <w:rPr>
          <w:color w:val="000000"/>
        </w:rPr>
        <w:t>14.m</w:t>
      </w:r>
      <w:r w:rsidRPr="00AA27E0">
        <w:rPr>
          <w:color w:val="000000"/>
        </w:rPr>
        <w:t xml:space="preserve">addesi gereğince değerlendirilmek üzere </w:t>
      </w:r>
      <w:r>
        <w:rPr>
          <w:color w:val="000000"/>
        </w:rPr>
        <w:t xml:space="preserve">İmar ve Şehircilik Dairesi </w:t>
      </w:r>
      <w:r w:rsidRPr="00AA27E0">
        <w:rPr>
          <w:color w:val="000000"/>
        </w:rPr>
        <w:t>Başkanlığı</w:t>
      </w:r>
      <w:r>
        <w:rPr>
          <w:color w:val="000000"/>
        </w:rPr>
        <w:t>na sunulduğu,</w:t>
      </w: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Kamu Ortaklık Pay</w:t>
      </w:r>
      <w:r>
        <w:rPr>
          <w:color w:val="000000"/>
        </w:rPr>
        <w:t>ın</w:t>
      </w:r>
      <w:r w:rsidRPr="00AA27E0">
        <w:rPr>
          <w:color w:val="000000"/>
        </w:rPr>
        <w:t>dan (KOP) oluşan 12404 m</w:t>
      </w:r>
      <w:r w:rsidRPr="00AA27E0">
        <w:rPr>
          <w:color w:val="000000"/>
          <w:vertAlign w:val="superscript"/>
        </w:rPr>
        <w:t>2</w:t>
      </w:r>
      <w:r w:rsidRPr="00AA27E0">
        <w:rPr>
          <w:color w:val="000000"/>
        </w:rPr>
        <w:t xml:space="preserve"> tapu senet yüzölçümü olan 60980/1 nolu parselin; Ankara Büyükşehir Belediye Meclisinin 23/08/2001 tarih 477 sayılı kararıyla onaylı 1/5000 ölçekli </w:t>
      </w:r>
      <w:r>
        <w:rPr>
          <w:color w:val="000000"/>
        </w:rPr>
        <w:t xml:space="preserve"> </w:t>
      </w:r>
      <w:r w:rsidRPr="00AA27E0">
        <w:rPr>
          <w:color w:val="000000"/>
        </w:rPr>
        <w:t xml:space="preserve">"Güneybatı Ankara Çevre Otoyolu İçi Kentsel Gelişim Bölgesi </w:t>
      </w:r>
      <w:r w:rsidRPr="00AA27E0">
        <w:rPr>
          <w:color w:val="000000"/>
          <w:lang w:val="en-US"/>
        </w:rPr>
        <w:t xml:space="preserve">III, </w:t>
      </w:r>
      <w:r w:rsidRPr="00AA27E0">
        <w:rPr>
          <w:color w:val="000000"/>
        </w:rPr>
        <w:t xml:space="preserve">İncek, Kızılcaşar, Dodurga Köyleri ve Çevresine Ait" Nazım İmar Planı kapsamında </w:t>
      </w:r>
      <w:r>
        <w:rPr>
          <w:color w:val="000000"/>
        </w:rPr>
        <w:t xml:space="preserve"> </w:t>
      </w:r>
      <w:r w:rsidRPr="00AA27E0">
        <w:rPr>
          <w:color w:val="000000"/>
        </w:rPr>
        <w:t>"Kentsel Rekreasyon Alanı'' kullanımında kaldığı,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1/1000 ölçekli Güneybatı Ankara Çevre Otoyolu İçi 3. Bölge 9. Etap Uygulama İmar Planı Yenimahalle Belediye Meclisi'nin 04/03/2003 tarih 31 sayılı kararıyla uygun görülerek, Ankara Büyükşehir Belediye Başkanlığınca 26/09/2003 tarihli onaylı plan kapsam</w:t>
      </w:r>
      <w:r>
        <w:rPr>
          <w:color w:val="000000"/>
        </w:rPr>
        <w:t>ı</w:t>
      </w:r>
      <w:r w:rsidRPr="00AA27E0">
        <w:rPr>
          <w:color w:val="000000"/>
        </w:rPr>
        <w:t>nda da "Kentsel Rekreasyon Alanı" kullanımına kaldığı,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Daha sonra Kamu Ortaklık Pay</w:t>
      </w:r>
      <w:r>
        <w:rPr>
          <w:color w:val="000000"/>
        </w:rPr>
        <w:t>ın</w:t>
      </w:r>
      <w:r w:rsidRPr="00AA27E0">
        <w:rPr>
          <w:color w:val="000000"/>
        </w:rPr>
        <w:t>dan oluşturulan alanlar için belediyeler aleyhine kamulaştırmasız el atma davaları açıldığı ve belediyeler aleyhine yüksek kamulaştırma bedelleriyle sonuçlanmaya devam ettiğinden bahisle Ankara Büyükşehir Belediye Meclisinin 15.08.2014/1448 sayılı kara</w:t>
      </w:r>
      <w:r>
        <w:rPr>
          <w:color w:val="000000"/>
        </w:rPr>
        <w:t>rı</w:t>
      </w:r>
      <w:r w:rsidRPr="00AA27E0">
        <w:rPr>
          <w:color w:val="000000"/>
        </w:rPr>
        <w:t xml:space="preserve"> ile söz konusu parselin kullanımının E:0.10, Yençok:2 kat yapılaşma koşullarında "Ticari Rekreasyon" kullanımına dönüştürüldüğü,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1/5000 N</w:t>
      </w:r>
      <w:r>
        <w:rPr>
          <w:color w:val="000000"/>
        </w:rPr>
        <w:t>İ</w:t>
      </w:r>
      <w:r w:rsidRPr="00AA27E0">
        <w:rPr>
          <w:color w:val="000000"/>
        </w:rPr>
        <w:t xml:space="preserve">P kapsamında; 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</w:t>
      </w:r>
      <w:r w:rsidRPr="00AA27E0">
        <w:rPr>
          <w:color w:val="000000"/>
        </w:rPr>
        <w:t xml:space="preserve">-E:0.10, Yençok:2 kat olacaktır. 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2- En az ifraz koşulu 2500 m</w:t>
      </w:r>
      <w:r w:rsidRPr="00AA27E0">
        <w:rPr>
          <w:color w:val="000000"/>
          <w:vertAlign w:val="superscript"/>
        </w:rPr>
        <w:t>2</w:t>
      </w:r>
      <w:r w:rsidRPr="00AA27E0">
        <w:rPr>
          <w:color w:val="000000"/>
        </w:rPr>
        <w:t xml:space="preserve">'dir. 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şeklinde 2 adet plan notunun bulunduğu,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Çankaya Belediyesince söz konusu 1/5000 NİP doğrultusunda hazırlanan 1/1000 UİP kapsamında 60980/1 nolu parselin kullanımının E:0.10, Yençok:2 kat, yapı yaklaşma mesafelerinin ise parselin tüm cephelerinde yollardan 10'ar metre şeklinde yapılaşma koşullarının önerilerek 'Ticari Rekreasyon" kullanımına dönüştürüldüğü,</w:t>
      </w: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1/1000 Uygulama İmar Planında belirlenen plan notları ise;</w:t>
      </w: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A27E0">
        <w:rPr>
          <w:color w:val="000000"/>
        </w:rPr>
        <w:t>l-'Ticari Rekreasyon Alanı' parselinde E:0.10, Yençok=2 kat olacaktır.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2-En az ifraz koşulu 2500 m</w:t>
      </w:r>
      <w:r w:rsidRPr="00AA27E0">
        <w:rPr>
          <w:color w:val="000000"/>
          <w:vertAlign w:val="superscript"/>
        </w:rPr>
        <w:t>2</w:t>
      </w:r>
      <w:r w:rsidRPr="00AA27E0">
        <w:rPr>
          <w:color w:val="000000"/>
        </w:rPr>
        <w:t>'dir.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Default="00CE21EF" w:rsidP="00CE21EF">
      <w:pPr>
        <w:jc w:val="center"/>
      </w:pPr>
    </w:p>
    <w:p w:rsidR="00CE21EF" w:rsidRPr="00C04909" w:rsidRDefault="00CE21EF" w:rsidP="00CE21EF">
      <w:pPr>
        <w:jc w:val="center"/>
      </w:pPr>
      <w:r w:rsidRPr="00C04909">
        <w:t>T.C.</w:t>
      </w:r>
    </w:p>
    <w:p w:rsidR="00CE21EF" w:rsidRPr="00C04909" w:rsidRDefault="00CE21EF" w:rsidP="00CE21EF">
      <w:pPr>
        <w:jc w:val="center"/>
      </w:pPr>
      <w:r w:rsidRPr="00C04909">
        <w:t>ANKARA BÜYÜKŞEHİR BELEDİYE MECLİSİ</w:t>
      </w:r>
    </w:p>
    <w:p w:rsidR="00CE21EF" w:rsidRDefault="00CE21EF" w:rsidP="00CE21E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E21EF" w:rsidRDefault="00CE21EF" w:rsidP="00CE21EF">
      <w:pPr>
        <w:jc w:val="center"/>
      </w:pPr>
    </w:p>
    <w:p w:rsidR="00CE21EF" w:rsidRDefault="00CE21EF" w:rsidP="00CE21EF">
      <w:pPr>
        <w:jc w:val="center"/>
      </w:pPr>
    </w:p>
    <w:p w:rsidR="00CE21EF" w:rsidRPr="00CE21EF" w:rsidRDefault="00CE21EF" w:rsidP="00CE21EF">
      <w:pPr>
        <w:jc w:val="both"/>
      </w:pPr>
      <w:r w:rsidRPr="00C04909">
        <w:t>Rapor No:</w:t>
      </w:r>
      <w:r>
        <w:t xml:space="preserve"> 384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3-Ticari rekreasyon alanında lokanta, büfe, açıkhava tiyatrosu, açık kapalı spor tesisleri, çocuk bahçeleri, oyun alanla</w:t>
      </w:r>
      <w:r>
        <w:rPr>
          <w:color w:val="000000"/>
        </w:rPr>
        <w:t>rı</w:t>
      </w:r>
      <w:r w:rsidRPr="00AA27E0">
        <w:rPr>
          <w:color w:val="000000"/>
        </w:rPr>
        <w:t>, piknik ve eğlence yerleri gibi kullanımlar yer alabilir.</w:t>
      </w: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</w:p>
    <w:p w:rsidR="00CE21EF" w:rsidRDefault="00CE21EF" w:rsidP="00CE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A27E0">
        <w:rPr>
          <w:color w:val="000000"/>
        </w:rPr>
        <w:t>4-Planda ve Plan Notlarında Belirtilmeyen Hususlarda 3194 Sayılı İmar Kanunu ve İlgili Yönetmelik Hükümleri Geçerlidir.</w:t>
      </w:r>
    </w:p>
    <w:p w:rsidR="00CE21EF" w:rsidRPr="00AA27E0" w:rsidRDefault="00CE21EF" w:rsidP="00CE21EF">
      <w:pPr>
        <w:shd w:val="clear" w:color="auto" w:fill="FFFFFF"/>
        <w:autoSpaceDE w:val="0"/>
        <w:autoSpaceDN w:val="0"/>
        <w:adjustRightInd w:val="0"/>
        <w:jc w:val="both"/>
      </w:pPr>
    </w:p>
    <w:p w:rsidR="00CE21EF" w:rsidRPr="00AA27E0" w:rsidRDefault="00CE21EF" w:rsidP="00CE21E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AA27E0">
        <w:rPr>
          <w:color w:val="000000"/>
        </w:rPr>
        <w:t>şeklinde 4 adet plan notunun önerildiği,</w:t>
      </w:r>
    </w:p>
    <w:p w:rsidR="00CE21EF" w:rsidRPr="00AA27E0" w:rsidRDefault="00CE21EF" w:rsidP="00CE21E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CE21EF" w:rsidRPr="00AA27E0" w:rsidRDefault="00CE21EF" w:rsidP="00CE21E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AA27E0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“Onayı” komisyonumuzca oybirliği ile uygun görülmüştür.</w:t>
      </w:r>
    </w:p>
    <w:p w:rsidR="00CE21EF" w:rsidRDefault="00CE21EF" w:rsidP="00CE21EF">
      <w:pPr>
        <w:pStyle w:val="ListeParagraf"/>
        <w:ind w:left="0"/>
        <w:jc w:val="both"/>
      </w:pPr>
    </w:p>
    <w:p w:rsidR="00CE21EF" w:rsidRPr="007332E8" w:rsidRDefault="00CE21EF" w:rsidP="00CE21EF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CE21EF" w:rsidRDefault="00CE21EF" w:rsidP="00CE21EF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CE21EF" w:rsidRDefault="00CE21EF" w:rsidP="00CE21E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E21EF" w:rsidRDefault="00CE21EF" w:rsidP="00CE21E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E21EF" w:rsidRDefault="00CE21EF" w:rsidP="00CE21E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CE21EF" w:rsidRDefault="00CE21EF" w:rsidP="00CE21E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E21EF" w:rsidRDefault="00CE21EF" w:rsidP="00CE21EF">
      <w:pPr>
        <w:jc w:val="both"/>
      </w:pPr>
    </w:p>
    <w:p w:rsidR="00CE21EF" w:rsidRDefault="00CE21EF" w:rsidP="00CE21EF">
      <w:pPr>
        <w:jc w:val="both"/>
      </w:pPr>
    </w:p>
    <w:p w:rsidR="00CE21EF" w:rsidRDefault="00CE21EF" w:rsidP="00CE21EF">
      <w:pPr>
        <w:jc w:val="both"/>
      </w:pPr>
    </w:p>
    <w:p w:rsidR="00CE21EF" w:rsidRDefault="00CE21EF" w:rsidP="00CE21E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CE21EF" w:rsidRDefault="00CE21EF" w:rsidP="00CE21E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E21EF" w:rsidRDefault="00CE21EF" w:rsidP="00CE21EF">
      <w:pPr>
        <w:ind w:firstLine="708"/>
        <w:jc w:val="both"/>
      </w:pPr>
    </w:p>
    <w:p w:rsidR="00CE21EF" w:rsidRDefault="00CE21EF" w:rsidP="00CE21EF">
      <w:pPr>
        <w:ind w:firstLine="708"/>
        <w:jc w:val="both"/>
      </w:pPr>
    </w:p>
    <w:p w:rsidR="00CE21EF" w:rsidRDefault="00CE21EF" w:rsidP="00CE21EF">
      <w:pPr>
        <w:jc w:val="both"/>
      </w:pPr>
    </w:p>
    <w:p w:rsidR="00CE21EF" w:rsidRDefault="00CE21EF" w:rsidP="00CE21EF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CE21EF" w:rsidRDefault="00CE21EF" w:rsidP="00CE21E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E21EF" w:rsidRDefault="00CE21EF" w:rsidP="00CE21E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CE21EF" w:rsidRDefault="00CE21E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CE21E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B6" w:rsidRDefault="004D41B6" w:rsidP="007A5AB5">
      <w:r>
        <w:separator/>
      </w:r>
    </w:p>
  </w:endnote>
  <w:endnote w:type="continuationSeparator" w:id="1">
    <w:p w:rsidR="004D41B6" w:rsidRDefault="004D41B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B6" w:rsidRDefault="004D41B6" w:rsidP="007A5AB5">
      <w:r>
        <w:separator/>
      </w:r>
    </w:p>
  </w:footnote>
  <w:footnote w:type="continuationSeparator" w:id="1">
    <w:p w:rsidR="004D41B6" w:rsidRDefault="004D41B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1B6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6BE4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EF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2020-02-12T08:42:00Z</cp:lastPrinted>
  <dcterms:created xsi:type="dcterms:W3CDTF">2020-02-12T08:45:00Z</dcterms:created>
  <dcterms:modified xsi:type="dcterms:W3CDTF">2020-02-24T06:55:00Z</dcterms:modified>
</cp:coreProperties>
</file>