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443064">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C83A24" w:rsidRDefault="002856BD" w:rsidP="00443064">
      <w:pPr>
        <w:jc w:val="both"/>
      </w:pPr>
      <w:r>
        <w:t xml:space="preserve">                BELEDİYE MECLİSİ</w:t>
      </w:r>
    </w:p>
    <w:p w:rsidR="00443064" w:rsidRDefault="00443064" w:rsidP="002856BD">
      <w:pPr>
        <w:tabs>
          <w:tab w:val="left" w:pos="1935"/>
        </w:tabs>
        <w:jc w:val="both"/>
      </w:pPr>
    </w:p>
    <w:p w:rsidR="008174F6" w:rsidRDefault="008174F6" w:rsidP="002856BD">
      <w:pPr>
        <w:tabs>
          <w:tab w:val="left" w:pos="1935"/>
        </w:tabs>
        <w:jc w:val="both"/>
      </w:pPr>
    </w:p>
    <w:p w:rsidR="008174F6" w:rsidRDefault="008174F6" w:rsidP="002856BD">
      <w:pPr>
        <w:tabs>
          <w:tab w:val="left" w:pos="1935"/>
        </w:tabs>
        <w:jc w:val="both"/>
      </w:pPr>
    </w:p>
    <w:p w:rsidR="00443064" w:rsidRDefault="002856BD" w:rsidP="00443064">
      <w:pPr>
        <w:jc w:val="both"/>
      </w:pPr>
      <w:r w:rsidRPr="001B032A">
        <w:t>Karar No:</w:t>
      </w:r>
      <w:r w:rsidR="005D65BD">
        <w:t>524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443064">
        <w:t xml:space="preserve">   </w:t>
      </w:r>
      <w:r w:rsidR="008955BF">
        <w:t>1</w:t>
      </w:r>
      <w:r w:rsidR="00922289">
        <w:t>3</w:t>
      </w:r>
      <w:r>
        <w:t>.</w:t>
      </w:r>
      <w:r w:rsidR="00923BD1">
        <w:t>0</w:t>
      </w:r>
      <w:r w:rsidR="009D5570">
        <w:t>3</w:t>
      </w:r>
      <w:r w:rsidR="00EC43BD">
        <w:t>.20</w:t>
      </w:r>
      <w:r w:rsidR="00923BD1">
        <w:t>20</w:t>
      </w:r>
    </w:p>
    <w:p w:rsidR="008174F6" w:rsidRDefault="008174F6" w:rsidP="00443064">
      <w:pPr>
        <w:jc w:val="both"/>
      </w:pPr>
    </w:p>
    <w:p w:rsidR="008174F6" w:rsidRDefault="008174F6" w:rsidP="00443064">
      <w:pPr>
        <w:jc w:val="both"/>
      </w:pPr>
    </w:p>
    <w:p w:rsidR="00856C9D" w:rsidRDefault="002856BD" w:rsidP="004C1C22">
      <w:pPr>
        <w:ind w:right="-1"/>
        <w:jc w:val="center"/>
      </w:pPr>
      <w:r>
        <w:t>K A R A R</w:t>
      </w:r>
    </w:p>
    <w:p w:rsidR="008174F6" w:rsidRDefault="008174F6" w:rsidP="004C1C22">
      <w:pPr>
        <w:ind w:right="-1"/>
        <w:jc w:val="center"/>
      </w:pPr>
    </w:p>
    <w:p w:rsidR="008174F6" w:rsidRDefault="008174F6" w:rsidP="004C1C22">
      <w:pPr>
        <w:ind w:right="-1"/>
        <w:jc w:val="center"/>
      </w:pPr>
    </w:p>
    <w:p w:rsidR="00443064" w:rsidRDefault="00443064" w:rsidP="004C1C22">
      <w:pPr>
        <w:ind w:right="-1"/>
        <w:jc w:val="center"/>
      </w:pPr>
    </w:p>
    <w:p w:rsidR="0057182F" w:rsidRDefault="0057182F" w:rsidP="00B85B77">
      <w:pPr>
        <w:ind w:firstLine="708"/>
        <w:jc w:val="both"/>
      </w:pPr>
    </w:p>
    <w:p w:rsidR="00492DFF" w:rsidRPr="00AE7122" w:rsidRDefault="005D65BD" w:rsidP="00856C9D">
      <w:pPr>
        <w:ind w:firstLine="708"/>
        <w:jc w:val="both"/>
      </w:pPr>
      <w:r w:rsidRPr="00E24162">
        <w:t>Belediyemizce Emniyet Teşkilatının Güvenlikle ilgili Kamu Kurumu niteliğindeki yapılarında ve Diyanet İşleri Başkanlığına tahsisli dini yapılarda inşaat yapı ruhsatı aşamasında ticari gelir getirmemek kaydıyla yapılan yapılardan Stabilize Yol Teknik Altyapı Katılım Bedeline</w:t>
      </w:r>
      <w:r w:rsidR="008174F6" w:rsidRPr="00AE7122">
        <w:t xml:space="preserve"> </w:t>
      </w:r>
      <w:r w:rsidR="00B90D7E" w:rsidRPr="00AE7122">
        <w:t xml:space="preserve">ilişkin </w:t>
      </w:r>
      <w:r w:rsidR="0055190F" w:rsidRPr="00AE7122">
        <w:t>Hukuk ve Tarifeler</w:t>
      </w:r>
      <w:r w:rsidR="00F0560A" w:rsidRPr="00AE7122">
        <w:t xml:space="preserve"> </w:t>
      </w:r>
      <w:r w:rsidR="003D7483" w:rsidRPr="00AE7122">
        <w:t xml:space="preserve">Komisyonunun </w:t>
      </w:r>
      <w:r w:rsidR="005D607E" w:rsidRPr="00AE7122">
        <w:t>2</w:t>
      </w:r>
      <w:r w:rsidR="00F0560A" w:rsidRPr="00AE7122">
        <w:t>1</w:t>
      </w:r>
      <w:r w:rsidR="008955BF" w:rsidRPr="00AE7122">
        <w:t>.</w:t>
      </w:r>
      <w:r w:rsidR="00923BD1" w:rsidRPr="00AE7122">
        <w:t>0</w:t>
      </w:r>
      <w:r w:rsidR="009D5570" w:rsidRPr="00AE7122">
        <w:t>2</w:t>
      </w:r>
      <w:r w:rsidR="00535CDC" w:rsidRPr="00AE7122">
        <w:t>.20</w:t>
      </w:r>
      <w:r w:rsidR="00923BD1" w:rsidRPr="00AE7122">
        <w:t>20</w:t>
      </w:r>
      <w:r w:rsidR="00535CDC" w:rsidRPr="00AE7122">
        <w:t xml:space="preserve"> gün ve </w:t>
      </w:r>
      <w:r>
        <w:t>121</w:t>
      </w:r>
      <w:r w:rsidR="00526AE8" w:rsidRPr="00AE7122">
        <w:t xml:space="preserve"> </w:t>
      </w:r>
      <w:r w:rsidR="003D7483" w:rsidRPr="00AE7122">
        <w:t xml:space="preserve">sayılı raporu </w:t>
      </w:r>
      <w:r w:rsidR="00B90D7E" w:rsidRPr="00AE7122">
        <w:t xml:space="preserve">Büyükşehir Belediye Meclisimizin </w:t>
      </w:r>
      <w:r w:rsidR="008955BF" w:rsidRPr="00AE7122">
        <w:t>1</w:t>
      </w:r>
      <w:r w:rsidR="00922289" w:rsidRPr="00AE7122">
        <w:t>3</w:t>
      </w:r>
      <w:r w:rsidR="00B90D7E" w:rsidRPr="00AE7122">
        <w:t>.</w:t>
      </w:r>
      <w:r w:rsidR="00923BD1" w:rsidRPr="00AE7122">
        <w:t>0</w:t>
      </w:r>
      <w:r w:rsidR="009D5570" w:rsidRPr="00AE7122">
        <w:t>3</w:t>
      </w:r>
      <w:r w:rsidR="00EC43BD" w:rsidRPr="00AE7122">
        <w:t>.20</w:t>
      </w:r>
      <w:r w:rsidR="00923BD1" w:rsidRPr="00AE7122">
        <w:t>20</w:t>
      </w:r>
      <w:r w:rsidR="00B90D7E" w:rsidRPr="00AE7122">
        <w:t xml:space="preserve"> tarihli toplantısında okundu.</w:t>
      </w:r>
    </w:p>
    <w:p w:rsidR="00856C9D" w:rsidRPr="00AE7122" w:rsidRDefault="00856C9D" w:rsidP="00492DFF">
      <w:pPr>
        <w:ind w:firstLine="708"/>
        <w:jc w:val="both"/>
      </w:pPr>
    </w:p>
    <w:p w:rsidR="005D65BD" w:rsidRPr="00E24162" w:rsidRDefault="00530CD2" w:rsidP="005D65BD">
      <w:pPr>
        <w:shd w:val="clear" w:color="auto" w:fill="FFFFFF"/>
        <w:autoSpaceDE w:val="0"/>
        <w:autoSpaceDN w:val="0"/>
        <w:adjustRightInd w:val="0"/>
        <w:ind w:right="-2" w:firstLine="708"/>
        <w:jc w:val="both"/>
      </w:pPr>
      <w:r w:rsidRPr="00AE7122">
        <w:t xml:space="preserve">Konu üzerinde </w:t>
      </w:r>
      <w:r w:rsidR="00544FB5" w:rsidRPr="00AE7122">
        <w:t xml:space="preserve">yapılan görüşmeler neticesinde; </w:t>
      </w:r>
      <w:r w:rsidR="005D65BD" w:rsidRPr="00E24162">
        <w:t>Ankara Büyükşehir Belediyesi Meclisimizin 15.06.2012 tarihli ve 958 sayılı kararında “Eğitim (Üniversiteler dahil) kültür, dini tesis alanı, yurt ve benzeri dallarda hizmet veren sektörlere destek amacıyla AYKOME kazı ruhsatlarıyla, su ve kanal katılım, yol teknik altyapı bedellerinin %10 olarak tahsil edilmesi” ile ilgili, yine Ankara Büyükşehir Belediyesi Meclisimizin 14.07.2015 tarihli ve 1498 sayılı kararının;</w:t>
      </w:r>
    </w:p>
    <w:p w:rsidR="005D65BD" w:rsidRPr="00E24162" w:rsidRDefault="005D65BD" w:rsidP="005D65BD">
      <w:pPr>
        <w:shd w:val="clear" w:color="auto" w:fill="FFFFFF"/>
        <w:autoSpaceDE w:val="0"/>
        <w:autoSpaceDN w:val="0"/>
        <w:adjustRightInd w:val="0"/>
        <w:ind w:right="-2" w:firstLine="708"/>
        <w:jc w:val="both"/>
      </w:pPr>
      <w:r w:rsidRPr="00E24162">
        <w:t>“k) bendinde Vakıf Dernek veya vatandaşlarca hibe şeklinde yapılacak eğitim ve sağlık kurumlarından yol katılım bedelinin alınmaması,</w:t>
      </w:r>
    </w:p>
    <w:p w:rsidR="005D65BD" w:rsidRPr="00E24162" w:rsidRDefault="005D65BD" w:rsidP="005D65BD">
      <w:pPr>
        <w:shd w:val="clear" w:color="auto" w:fill="FFFFFF"/>
        <w:tabs>
          <w:tab w:val="left" w:pos="9356"/>
        </w:tabs>
        <w:autoSpaceDE w:val="0"/>
        <w:autoSpaceDN w:val="0"/>
        <w:adjustRightInd w:val="0"/>
        <w:ind w:firstLine="708"/>
        <w:jc w:val="both"/>
      </w:pPr>
      <w:r w:rsidRPr="00E24162">
        <w:t>m) bendinde ise Kuruluş Kanunlarında, 3194 sayılı İmar Kanununda yer alan teknik altyapı katılım paylarından muafiyet hükmü bulunmayan tüm Kamu Kurum ve Kuruluşlarından katılım bedelinin alınması” ile ilgili kararlar alındığı;</w:t>
      </w:r>
    </w:p>
    <w:p w:rsidR="005D65BD" w:rsidRPr="00E24162" w:rsidRDefault="005D65BD" w:rsidP="005D65BD">
      <w:pPr>
        <w:shd w:val="clear" w:color="auto" w:fill="FFFFFF"/>
        <w:autoSpaceDE w:val="0"/>
        <w:autoSpaceDN w:val="0"/>
        <w:adjustRightInd w:val="0"/>
        <w:ind w:right="140" w:firstLine="708"/>
        <w:jc w:val="both"/>
      </w:pPr>
    </w:p>
    <w:p w:rsidR="00C83A24" w:rsidRPr="00AE7122" w:rsidRDefault="00E6730D" w:rsidP="005D65BD">
      <w:pPr>
        <w:ind w:firstLine="708"/>
        <w:jc w:val="both"/>
      </w:pPr>
      <w:r>
        <w:t xml:space="preserve">Yasal olan zorunlu harç ve bedeller dışında kalan diğer harçların alınıp alınmaması konusunda </w:t>
      </w:r>
      <w:r w:rsidR="005D65BD">
        <w:t>Büyükşehir Belediye Başkanına yetki verilmesine</w:t>
      </w:r>
      <w:r w:rsidR="0055190F" w:rsidRPr="00AE7122">
        <w:rPr>
          <w:color w:val="000000"/>
          <w:spacing w:val="-3"/>
        </w:rPr>
        <w:t xml:space="preserve"> </w:t>
      </w:r>
      <w:r w:rsidR="005C358D" w:rsidRPr="00AE7122">
        <w:rPr>
          <w:color w:val="000000"/>
        </w:rPr>
        <w:t>ilişkin</w:t>
      </w:r>
      <w:r w:rsidR="008955BF" w:rsidRPr="00AE7122">
        <w:t xml:space="preserve"> </w:t>
      </w:r>
      <w:r w:rsidR="0055190F" w:rsidRPr="00AE7122">
        <w:t>Hukuk ve Tarifeler</w:t>
      </w:r>
      <w:r w:rsidR="00F0560A" w:rsidRPr="00AE7122">
        <w:t xml:space="preserve"> </w:t>
      </w:r>
      <w:r w:rsidR="008955BF" w:rsidRPr="00AE7122">
        <w:t>Komisyonu Raporu</w:t>
      </w:r>
      <w:r>
        <w:t>nun</w:t>
      </w:r>
      <w:r w:rsidR="005D65BD">
        <w:t xml:space="preserve"> </w:t>
      </w:r>
      <w:r w:rsidR="005D65BD" w:rsidRPr="00E6730D">
        <w:rPr>
          <w:b/>
          <w:i/>
        </w:rPr>
        <w:t>“Raporun son iki paragrafının rapordan çıkartılarak yerine “Belediyemizce Devletimizin güvenliği ile ilgili konularda faaliyet gösteren ve öz sermayesinin tamamı Devlete ait olan ve ticari kayıt taşımayan Emniyet teşkilatının güvenlikle ilgili Kamu Kurumlarının ve bununla birlikte Diyanet İşleri Başkanlığına tahsisli dini yapılar ile imar planında dini tesis alanı olarak planlanan parsellerden ticari gelir getirmemek kaydıyla, alacakları inşaat yapı ruhsatı aşamasında stabilize yol teknik alt yapı bedelinin alınmaması konusuna ilişkin olarak, yasal olarak alınması zorunlu olan harç ve bedellerin dışında kalan ve alınıp alınmaması konusu belediyenin takdirinde olan bedellerin alınıp alınmaması konusunda Belediye Başkanına yetki verilmesi uygun bulunmuştur.”</w:t>
      </w:r>
      <w:r>
        <w:t xml:space="preserve"> </w:t>
      </w:r>
      <w:r w:rsidR="005E39C7">
        <w:t>tarzında değiştirilmek suretiyle</w:t>
      </w:r>
      <w:r>
        <w:t xml:space="preserve"> </w:t>
      </w:r>
      <w:r w:rsidR="001131ED" w:rsidRPr="00AE7122">
        <w:t xml:space="preserve">oylanarak </w:t>
      </w:r>
      <w:r w:rsidR="008955BF" w:rsidRPr="00AE7122">
        <w:t>oy</w:t>
      </w:r>
      <w:r w:rsidR="0055190F" w:rsidRPr="00AE7122">
        <w:t>birliği</w:t>
      </w:r>
      <w:r w:rsidR="008955BF" w:rsidRPr="00AE7122">
        <w:t xml:space="preserve"> ile kabul edildi.</w:t>
      </w:r>
    </w:p>
    <w:p w:rsidR="008174F6" w:rsidRPr="00B8378C" w:rsidRDefault="008174F6" w:rsidP="008174F6">
      <w:pPr>
        <w:ind w:firstLine="708"/>
        <w:jc w:val="both"/>
      </w:pPr>
    </w:p>
    <w:p w:rsidR="00777162" w:rsidRDefault="00777162" w:rsidP="00443064">
      <w:pPr>
        <w:ind w:firstLine="708"/>
        <w:jc w:val="both"/>
      </w:pPr>
    </w:p>
    <w:p w:rsidR="00E6730D" w:rsidRDefault="00E6730D" w:rsidP="00443064">
      <w:pPr>
        <w:ind w:firstLine="708"/>
        <w:jc w:val="both"/>
      </w:pPr>
    </w:p>
    <w:p w:rsidR="00443064" w:rsidRDefault="00443064" w:rsidP="00443064">
      <w:pPr>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A04DF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Divan Katibi</w:t>
            </w:r>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Divan Katibi</w:t>
            </w:r>
          </w:p>
        </w:tc>
      </w:tr>
    </w:tbl>
    <w:p w:rsidR="00B15809" w:rsidRDefault="00B15809" w:rsidP="004C1C22">
      <w:pPr>
        <w:ind w:left="20" w:right="20" w:firstLine="688"/>
        <w:jc w:val="both"/>
      </w:pPr>
    </w:p>
    <w:p w:rsidR="009C7715" w:rsidRDefault="009C7715" w:rsidP="004C1C22">
      <w:pPr>
        <w:ind w:left="20" w:right="20" w:firstLine="688"/>
        <w:jc w:val="both"/>
      </w:pPr>
    </w:p>
    <w:p w:rsidR="009C7715" w:rsidRDefault="009C7715" w:rsidP="004C1C22">
      <w:pPr>
        <w:ind w:left="20" w:right="20" w:firstLine="688"/>
        <w:jc w:val="both"/>
      </w:pPr>
    </w:p>
    <w:p w:rsidR="009C7715" w:rsidRDefault="009C7715" w:rsidP="004C1C22">
      <w:pPr>
        <w:ind w:left="20" w:right="20" w:firstLine="688"/>
        <w:jc w:val="both"/>
      </w:pPr>
    </w:p>
    <w:p w:rsidR="009C7715" w:rsidRDefault="009C7715" w:rsidP="009C7715">
      <w:pPr>
        <w:jc w:val="center"/>
      </w:pPr>
    </w:p>
    <w:p w:rsidR="009C7715" w:rsidRDefault="009C7715" w:rsidP="009C7715">
      <w:pPr>
        <w:jc w:val="center"/>
      </w:pPr>
    </w:p>
    <w:p w:rsidR="009C7715" w:rsidRDefault="009C7715" w:rsidP="009C7715">
      <w:pPr>
        <w:jc w:val="center"/>
      </w:pPr>
      <w:r>
        <w:t>T.C.</w:t>
      </w:r>
    </w:p>
    <w:p w:rsidR="009C7715" w:rsidRDefault="009C7715" w:rsidP="009C7715">
      <w:pPr>
        <w:jc w:val="center"/>
      </w:pPr>
      <w:r>
        <w:t>ANKARA BÜYÜKŞEHİR BELEDİYE MECLİSİ</w:t>
      </w:r>
    </w:p>
    <w:p w:rsidR="009C7715" w:rsidRDefault="009C7715" w:rsidP="009C7715">
      <w:pPr>
        <w:ind w:firstLine="708"/>
        <w:jc w:val="center"/>
      </w:pPr>
      <w:r>
        <w:t>Hukuk ve Tarifeler Komisyonu Raporu</w:t>
      </w:r>
    </w:p>
    <w:p w:rsidR="009C7715" w:rsidRDefault="009C7715" w:rsidP="009C7715">
      <w:pPr>
        <w:ind w:firstLine="708"/>
      </w:pPr>
    </w:p>
    <w:p w:rsidR="009C7715" w:rsidRDefault="009C7715" w:rsidP="009C7715">
      <w:pPr>
        <w:jc w:val="both"/>
      </w:pPr>
      <w:r>
        <w:t xml:space="preserve">Rapor No:118   </w:t>
      </w:r>
      <w:r>
        <w:tab/>
      </w:r>
      <w:r>
        <w:tab/>
      </w:r>
      <w:r>
        <w:tab/>
      </w:r>
      <w:r>
        <w:tab/>
      </w:r>
      <w:r>
        <w:tab/>
      </w:r>
      <w:r>
        <w:tab/>
      </w:r>
      <w:r>
        <w:tab/>
      </w:r>
      <w:r>
        <w:tab/>
      </w:r>
      <w:r>
        <w:tab/>
        <w:t xml:space="preserve">  21.02.2020</w:t>
      </w:r>
    </w:p>
    <w:p w:rsidR="009C7715" w:rsidRDefault="009C7715" w:rsidP="009C7715">
      <w:pPr>
        <w:jc w:val="both"/>
      </w:pPr>
    </w:p>
    <w:p w:rsidR="009C7715" w:rsidRDefault="009C7715" w:rsidP="009C7715">
      <w:pPr>
        <w:jc w:val="center"/>
      </w:pPr>
      <w:r>
        <w:t>BÜYÜKŞEHİR BELEDİYE MECLİSİ BAŞKANLIĞINA</w:t>
      </w:r>
    </w:p>
    <w:p w:rsidR="009C7715" w:rsidRDefault="009C7715" w:rsidP="009C7715">
      <w:pPr>
        <w:jc w:val="center"/>
      </w:pPr>
    </w:p>
    <w:p w:rsidR="009C7715" w:rsidRDefault="009C7715" w:rsidP="009C7715">
      <w:pPr>
        <w:jc w:val="center"/>
      </w:pPr>
    </w:p>
    <w:p w:rsidR="009C7715" w:rsidRDefault="009C7715" w:rsidP="009C7715">
      <w:pPr>
        <w:jc w:val="both"/>
      </w:pPr>
    </w:p>
    <w:p w:rsidR="009C7715" w:rsidRDefault="009C7715" w:rsidP="009C7715">
      <w:pPr>
        <w:pStyle w:val="GvdeMetni"/>
        <w:tabs>
          <w:tab w:val="left" w:pos="0"/>
        </w:tabs>
      </w:pPr>
      <w:r>
        <w:tab/>
        <w:t>Büyükşehir Belediyesi, EGO ve ASKİ Genel Müdürlüklerinin stok ve taşınır listelerinde yer alan araç, gereç, makine, teçhizat, sarf ve diğer malzemelerin stok fazlası ve ihtiyaç durumları göz önüne alınarak bedelli yada bedelsiz olarak devredilmesi ve devir işlemlerinin Taşınır Mal Yönetmeliği Hükümleri doğrultusunda yapılmasına ilişkin Büyükşehir Belediye Meclisinin 14.02.2020 gün ve 06. gündem maddesi olarak komisyonumuza havale edilen dosya incelendi.</w:t>
      </w:r>
    </w:p>
    <w:p w:rsidR="009C7715" w:rsidRDefault="009C7715" w:rsidP="009C7715">
      <w:pPr>
        <w:pStyle w:val="GvdeMetni"/>
        <w:tabs>
          <w:tab w:val="left" w:pos="0"/>
        </w:tabs>
      </w:pPr>
    </w:p>
    <w:p w:rsidR="009C7715" w:rsidRDefault="009C7715" w:rsidP="009C7715">
      <w:pPr>
        <w:pStyle w:val="GvdeMetni"/>
        <w:tabs>
          <w:tab w:val="left" w:pos="0"/>
        </w:tabs>
        <w:rPr>
          <w:color w:val="000000"/>
          <w:spacing w:val="-4"/>
        </w:rPr>
      </w:pPr>
      <w:r>
        <w:tab/>
        <w:t xml:space="preserve">Komisyonumuzca yapılan incelemeler neticesinde; </w:t>
      </w:r>
      <w:r>
        <w:rPr>
          <w:rStyle w:val="FontStyle13"/>
        </w:rPr>
        <w:t>Büyükşehir Belediyemiz ve bağlı Genel Müdürlükleri (ASKİ ve EGO) bünyesinde yer alan kaynakların etkili, ekonomik ve verimli bir şekilde kullanılabilmesi amacıyla; Büyükşehir Belediyesi EGO ve ASKİ Genel Müdürlükleri stok ve taşınır listelerinde yer alan araç, gereç ve makine, teçhizat, sarf ve diğer malzemelerin stok fazlası ve ihtiyaç durumları göz önüne bulundurulup ve Büyükşehir Belediyesi 2019/17 sayılı Tasarruf Tedbirleri Genelgesi de dikkate alınarak, 5393 sayılı Belediye Kanununun 75. Maddesi gereğince, Büyükşehir Belediyesi, ASKİ Genel Müdürlüğü ve EGO Genel Müdürlüğü kendi aralarında bedelli yada bedelsiz olarak devir edilebilmesi ve devir işlemlerinin Taşınır Mal Yönetmeliği hükümleri doğrultusunda yapılması</w:t>
      </w:r>
      <w:r>
        <w:rPr>
          <w:rStyle w:val="FontStyle20"/>
        </w:rPr>
        <w:t xml:space="preserve"> </w:t>
      </w:r>
      <w:r>
        <w:rPr>
          <w:color w:val="000000"/>
          <w:spacing w:val="-4"/>
        </w:rPr>
        <w:t>k</w:t>
      </w:r>
      <w:r>
        <w:rPr>
          <w:color w:val="000000"/>
          <w:spacing w:val="-1"/>
        </w:rPr>
        <w:t>omisyonumuzca uygun görülmüştür.</w:t>
      </w:r>
    </w:p>
    <w:p w:rsidR="009C7715" w:rsidRDefault="009C7715" w:rsidP="009C7715">
      <w:pPr>
        <w:tabs>
          <w:tab w:val="left" w:pos="0"/>
        </w:tabs>
        <w:ind w:firstLine="709"/>
        <w:jc w:val="both"/>
      </w:pPr>
    </w:p>
    <w:p w:rsidR="009C7715" w:rsidRDefault="009C7715" w:rsidP="009C7715">
      <w:pPr>
        <w:tabs>
          <w:tab w:val="left" w:pos="709"/>
          <w:tab w:val="left" w:pos="3828"/>
          <w:tab w:val="left" w:pos="4678"/>
          <w:tab w:val="left" w:pos="5387"/>
          <w:tab w:val="left" w:pos="9072"/>
        </w:tabs>
        <w:jc w:val="both"/>
      </w:pPr>
      <w:r>
        <w:tab/>
        <w:t>Raporumuz Büyükşehir Belediye Meclisinin onayına arz olunur.</w:t>
      </w:r>
    </w:p>
    <w:p w:rsidR="009C7715" w:rsidRDefault="009C7715" w:rsidP="009C7715">
      <w:pPr>
        <w:tabs>
          <w:tab w:val="left" w:pos="709"/>
          <w:tab w:val="left" w:pos="3828"/>
          <w:tab w:val="left" w:pos="4678"/>
          <w:tab w:val="left" w:pos="5387"/>
          <w:tab w:val="left" w:pos="9072"/>
        </w:tabs>
        <w:jc w:val="both"/>
      </w:pPr>
    </w:p>
    <w:p w:rsidR="009C7715" w:rsidRDefault="009C7715" w:rsidP="009C7715">
      <w:pPr>
        <w:tabs>
          <w:tab w:val="left" w:pos="709"/>
          <w:tab w:val="left" w:pos="3828"/>
          <w:tab w:val="left" w:pos="4678"/>
          <w:tab w:val="left" w:pos="5387"/>
          <w:tab w:val="left" w:pos="9072"/>
        </w:tabs>
        <w:jc w:val="both"/>
      </w:pPr>
    </w:p>
    <w:p w:rsidR="009C7715" w:rsidRDefault="009C7715" w:rsidP="009C7715">
      <w:pPr>
        <w:tabs>
          <w:tab w:val="left" w:pos="709"/>
          <w:tab w:val="left" w:pos="3828"/>
          <w:tab w:val="left" w:pos="4678"/>
          <w:tab w:val="left" w:pos="5387"/>
          <w:tab w:val="left" w:pos="9072"/>
        </w:tabs>
        <w:jc w:val="both"/>
      </w:pPr>
    </w:p>
    <w:tbl>
      <w:tblPr>
        <w:tblpPr w:leftFromText="141" w:rightFromText="141" w:vertAnchor="text" w:tblpY="-74"/>
        <w:tblW w:w="9607" w:type="dxa"/>
        <w:tblLook w:val="04A0"/>
      </w:tblPr>
      <w:tblGrid>
        <w:gridCol w:w="3202"/>
        <w:gridCol w:w="3202"/>
        <w:gridCol w:w="3203"/>
      </w:tblGrid>
      <w:tr w:rsidR="009C7715" w:rsidTr="009C7715">
        <w:trPr>
          <w:trHeight w:val="1352"/>
        </w:trPr>
        <w:tc>
          <w:tcPr>
            <w:tcW w:w="3202" w:type="dxa"/>
            <w:hideMark/>
          </w:tcPr>
          <w:p w:rsidR="009C7715" w:rsidRDefault="009C7715">
            <w:pPr>
              <w:jc w:val="center"/>
            </w:pPr>
            <w:r>
              <w:t>Ercan KINACI</w:t>
            </w:r>
          </w:p>
          <w:p w:rsidR="009C7715" w:rsidRDefault="009C7715">
            <w:pPr>
              <w:jc w:val="center"/>
            </w:pPr>
            <w:r>
              <w:t>Hukuk ve Tarifeler Koms. Başk.</w:t>
            </w:r>
          </w:p>
        </w:tc>
        <w:tc>
          <w:tcPr>
            <w:tcW w:w="3202" w:type="dxa"/>
            <w:hideMark/>
          </w:tcPr>
          <w:p w:rsidR="009C7715" w:rsidRDefault="009C7715">
            <w:pPr>
              <w:jc w:val="center"/>
            </w:pPr>
            <w:r>
              <w:t>Abdullah Emin TEKİN</w:t>
            </w:r>
          </w:p>
          <w:p w:rsidR="009C7715" w:rsidRDefault="009C7715">
            <w:pPr>
              <w:jc w:val="center"/>
            </w:pPr>
            <w:r>
              <w:t>Başkan Vekili</w:t>
            </w:r>
          </w:p>
        </w:tc>
        <w:tc>
          <w:tcPr>
            <w:tcW w:w="3203" w:type="dxa"/>
          </w:tcPr>
          <w:p w:rsidR="009C7715" w:rsidRDefault="009C7715">
            <w:pPr>
              <w:jc w:val="center"/>
            </w:pPr>
            <w:r>
              <w:t>Baki DEMİRBAŞ</w:t>
            </w:r>
          </w:p>
          <w:p w:rsidR="009C7715" w:rsidRDefault="009C7715">
            <w:pPr>
              <w:jc w:val="center"/>
            </w:pPr>
            <w:r>
              <w:t>Üye</w:t>
            </w:r>
          </w:p>
          <w:p w:rsidR="009C7715" w:rsidRDefault="009C7715">
            <w:pPr>
              <w:jc w:val="center"/>
            </w:pPr>
          </w:p>
        </w:tc>
      </w:tr>
      <w:tr w:rsidR="009C7715" w:rsidTr="009C7715">
        <w:trPr>
          <w:trHeight w:val="1352"/>
        </w:trPr>
        <w:tc>
          <w:tcPr>
            <w:tcW w:w="3202" w:type="dxa"/>
            <w:vAlign w:val="center"/>
          </w:tcPr>
          <w:p w:rsidR="009C7715" w:rsidRDefault="009C7715">
            <w:pPr>
              <w:jc w:val="center"/>
            </w:pPr>
          </w:p>
          <w:p w:rsidR="009C7715" w:rsidRDefault="009C7715">
            <w:pPr>
              <w:jc w:val="center"/>
            </w:pPr>
            <w:r>
              <w:t>Duhan KALKAN</w:t>
            </w:r>
          </w:p>
          <w:p w:rsidR="009C7715" w:rsidRDefault="009C7715">
            <w:pPr>
              <w:jc w:val="center"/>
            </w:pPr>
            <w:r>
              <w:t>Üye</w:t>
            </w:r>
          </w:p>
        </w:tc>
        <w:tc>
          <w:tcPr>
            <w:tcW w:w="3202" w:type="dxa"/>
            <w:vAlign w:val="center"/>
          </w:tcPr>
          <w:p w:rsidR="009C7715" w:rsidRDefault="009C7715">
            <w:pPr>
              <w:jc w:val="center"/>
            </w:pPr>
          </w:p>
          <w:p w:rsidR="009C7715" w:rsidRDefault="009C7715">
            <w:pPr>
              <w:jc w:val="center"/>
            </w:pPr>
            <w:r>
              <w:t>Aysun Liman YAŞACAN</w:t>
            </w:r>
          </w:p>
          <w:p w:rsidR="009C7715" w:rsidRDefault="009C7715">
            <w:pPr>
              <w:jc w:val="center"/>
            </w:pPr>
            <w:r>
              <w:t>Üye</w:t>
            </w:r>
          </w:p>
        </w:tc>
        <w:tc>
          <w:tcPr>
            <w:tcW w:w="3203" w:type="dxa"/>
            <w:vAlign w:val="center"/>
          </w:tcPr>
          <w:p w:rsidR="009C7715" w:rsidRDefault="009C7715">
            <w:pPr>
              <w:jc w:val="center"/>
            </w:pPr>
          </w:p>
          <w:p w:rsidR="009C7715" w:rsidRDefault="009C7715">
            <w:pPr>
              <w:jc w:val="center"/>
            </w:pPr>
            <w:r>
              <w:t>Mehmet ÜÇÖZ</w:t>
            </w:r>
          </w:p>
          <w:p w:rsidR="009C7715" w:rsidRDefault="009C7715">
            <w:pPr>
              <w:jc w:val="center"/>
            </w:pPr>
            <w:r>
              <w:t>Üye</w:t>
            </w:r>
          </w:p>
        </w:tc>
      </w:tr>
      <w:tr w:rsidR="009C7715" w:rsidTr="009C7715">
        <w:trPr>
          <w:trHeight w:val="1352"/>
        </w:trPr>
        <w:tc>
          <w:tcPr>
            <w:tcW w:w="3202" w:type="dxa"/>
            <w:vAlign w:val="bottom"/>
          </w:tcPr>
          <w:p w:rsidR="009C7715" w:rsidRDefault="009C7715">
            <w:pPr>
              <w:jc w:val="center"/>
            </w:pPr>
          </w:p>
          <w:p w:rsidR="009C7715" w:rsidRDefault="009C7715">
            <w:pPr>
              <w:jc w:val="center"/>
            </w:pPr>
          </w:p>
          <w:p w:rsidR="009C7715" w:rsidRDefault="009C7715">
            <w:pPr>
              <w:jc w:val="center"/>
            </w:pPr>
          </w:p>
          <w:p w:rsidR="009C7715" w:rsidRDefault="009C7715">
            <w:pPr>
              <w:jc w:val="center"/>
            </w:pPr>
            <w:r>
              <w:t>Ömer KOÇAK</w:t>
            </w:r>
          </w:p>
          <w:p w:rsidR="009C7715" w:rsidRDefault="009C7715">
            <w:pPr>
              <w:jc w:val="center"/>
            </w:pPr>
            <w:r>
              <w:t>Üye</w:t>
            </w:r>
          </w:p>
        </w:tc>
        <w:tc>
          <w:tcPr>
            <w:tcW w:w="3202" w:type="dxa"/>
            <w:vAlign w:val="bottom"/>
          </w:tcPr>
          <w:p w:rsidR="009C7715" w:rsidRDefault="009C7715">
            <w:pPr>
              <w:jc w:val="center"/>
            </w:pPr>
          </w:p>
          <w:p w:rsidR="009C7715" w:rsidRDefault="009C7715">
            <w:pPr>
              <w:jc w:val="center"/>
            </w:pPr>
          </w:p>
          <w:p w:rsidR="009C7715" w:rsidRDefault="009C7715">
            <w:pPr>
              <w:jc w:val="center"/>
            </w:pPr>
            <w:r>
              <w:t>Haydar DEMİR</w:t>
            </w:r>
          </w:p>
          <w:p w:rsidR="009C7715" w:rsidRDefault="009C7715">
            <w:pPr>
              <w:jc w:val="center"/>
            </w:pPr>
            <w:r>
              <w:t>Üye</w:t>
            </w:r>
          </w:p>
        </w:tc>
        <w:tc>
          <w:tcPr>
            <w:tcW w:w="3203" w:type="dxa"/>
            <w:vAlign w:val="bottom"/>
          </w:tcPr>
          <w:p w:rsidR="009C7715" w:rsidRDefault="009C7715">
            <w:pPr>
              <w:jc w:val="center"/>
            </w:pPr>
          </w:p>
          <w:p w:rsidR="009C7715" w:rsidRDefault="009C7715">
            <w:pPr>
              <w:jc w:val="center"/>
            </w:pPr>
            <w:r>
              <w:t>Selim ÇIRPANOĞLU</w:t>
            </w:r>
          </w:p>
          <w:p w:rsidR="009C7715" w:rsidRDefault="009C7715">
            <w:pPr>
              <w:jc w:val="center"/>
            </w:pPr>
            <w:r>
              <w:t>Üye</w:t>
            </w:r>
          </w:p>
        </w:tc>
      </w:tr>
    </w:tbl>
    <w:p w:rsidR="009C7715" w:rsidRDefault="009C7715" w:rsidP="009C7715">
      <w:pPr>
        <w:tabs>
          <w:tab w:val="left" w:pos="709"/>
          <w:tab w:val="left" w:pos="3828"/>
          <w:tab w:val="left" w:pos="4678"/>
          <w:tab w:val="left" w:pos="5387"/>
          <w:tab w:val="left" w:pos="9072"/>
        </w:tabs>
        <w:jc w:val="both"/>
      </w:pPr>
    </w:p>
    <w:p w:rsidR="009C7715" w:rsidRDefault="009C7715" w:rsidP="004C1C22">
      <w:pPr>
        <w:ind w:left="20" w:right="20" w:firstLine="688"/>
        <w:jc w:val="both"/>
      </w:pPr>
    </w:p>
    <w:sectPr w:rsidR="009C771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BD" w:rsidRDefault="005D65BD" w:rsidP="007A5AB5">
      <w:r>
        <w:separator/>
      </w:r>
    </w:p>
  </w:endnote>
  <w:endnote w:type="continuationSeparator" w:id="0">
    <w:p w:rsidR="005D65BD" w:rsidRDefault="005D65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BD" w:rsidRDefault="005D65BD" w:rsidP="007A5AB5">
      <w:r>
        <w:separator/>
      </w:r>
    </w:p>
  </w:footnote>
  <w:footnote w:type="continuationSeparator" w:id="0">
    <w:p w:rsidR="005D65BD" w:rsidRDefault="005D65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27D86"/>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1ED"/>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B88"/>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18"/>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28"/>
    <w:rsid w:val="002E3F81"/>
    <w:rsid w:val="002E4524"/>
    <w:rsid w:val="002E49BB"/>
    <w:rsid w:val="002E4F2F"/>
    <w:rsid w:val="002E73B3"/>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43E5"/>
    <w:rsid w:val="00366114"/>
    <w:rsid w:val="00370A72"/>
    <w:rsid w:val="003710EC"/>
    <w:rsid w:val="00372651"/>
    <w:rsid w:val="003731A8"/>
    <w:rsid w:val="003737B2"/>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3064"/>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18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190F"/>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8C"/>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5BD"/>
    <w:rsid w:val="005D6F25"/>
    <w:rsid w:val="005D73B2"/>
    <w:rsid w:val="005D7A89"/>
    <w:rsid w:val="005D7D18"/>
    <w:rsid w:val="005E06EE"/>
    <w:rsid w:val="005E1CB0"/>
    <w:rsid w:val="005E39C7"/>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23"/>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77162"/>
    <w:rsid w:val="00780896"/>
    <w:rsid w:val="007813D1"/>
    <w:rsid w:val="00783A94"/>
    <w:rsid w:val="00783E4B"/>
    <w:rsid w:val="007861F5"/>
    <w:rsid w:val="0078687F"/>
    <w:rsid w:val="007869CE"/>
    <w:rsid w:val="00786D2F"/>
    <w:rsid w:val="007875B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4F6"/>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6C9D"/>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51C6"/>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8F7B7F"/>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0C4E"/>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715"/>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5C1"/>
    <w:rsid w:val="00A0410D"/>
    <w:rsid w:val="00A049B1"/>
    <w:rsid w:val="00A04DF7"/>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17E"/>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900"/>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122"/>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3E3B"/>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48B"/>
    <w:rsid w:val="00B778A9"/>
    <w:rsid w:val="00B80833"/>
    <w:rsid w:val="00B81937"/>
    <w:rsid w:val="00B82518"/>
    <w:rsid w:val="00B829F6"/>
    <w:rsid w:val="00B82AC3"/>
    <w:rsid w:val="00B82B71"/>
    <w:rsid w:val="00B8378C"/>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CA6"/>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E57"/>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730D"/>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4D9"/>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560A"/>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FontStyle29">
    <w:name w:val="Font Style29"/>
    <w:basedOn w:val="VarsaylanParagrafYazTipi"/>
    <w:uiPriority w:val="99"/>
    <w:rsid w:val="00B8378C"/>
    <w:rPr>
      <w:rFonts w:ascii="Times New Roman" w:hAnsi="Times New Roman" w:cs="Times New Roman"/>
      <w:sz w:val="20"/>
      <w:szCs w:val="20"/>
    </w:rPr>
  </w:style>
  <w:style w:type="character" w:customStyle="1" w:styleId="FontStyle13">
    <w:name w:val="Font Style13"/>
    <w:basedOn w:val="VarsaylanParagrafYazTipi"/>
    <w:uiPriority w:val="99"/>
    <w:rsid w:val="002E73B3"/>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0791226">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8CCF-3A70-4D83-A1C3-F1F49126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3753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2020-03-16T13:44:00Z</cp:lastPrinted>
  <dcterms:created xsi:type="dcterms:W3CDTF">2020-03-16T09:22:00Z</dcterms:created>
  <dcterms:modified xsi:type="dcterms:W3CDTF">2020-03-19T08:02:00Z</dcterms:modified>
</cp:coreProperties>
</file>