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DB3B57" w:rsidP="00AA7ED1">
      <w:pPr>
        <w:ind w:right="-1" w:firstLine="708"/>
        <w:jc w:val="both"/>
      </w:pPr>
      <w:r>
        <w:t>Minibüs ücret tarifelerinin yeniden belirlenmesine</w:t>
      </w:r>
      <w:r w:rsidR="009160FF" w:rsidRPr="00C1697D">
        <w:t xml:space="preserve"> ilişkin </w:t>
      </w:r>
      <w:r>
        <w:t>Hukuk ve Tarifeler</w:t>
      </w:r>
      <w:r w:rsidR="009160FF" w:rsidRPr="00C1697D">
        <w:t xml:space="preserve"> </w:t>
      </w:r>
      <w:r w:rsidR="00A574C9" w:rsidRPr="007F325F">
        <w:t>Komisyonu</w:t>
      </w:r>
      <w:r w:rsidR="00BC700E">
        <w:t xml:space="preserve">nun </w:t>
      </w:r>
      <w:r>
        <w:t>28</w:t>
      </w:r>
      <w:r w:rsidR="00005846">
        <w:t>.</w:t>
      </w:r>
      <w:r w:rsidR="00A06233">
        <w:t>1</w:t>
      </w:r>
      <w:r>
        <w:t>1</w:t>
      </w:r>
      <w:r w:rsidR="00B52587">
        <w:t>.2025</w:t>
      </w:r>
      <w:r w:rsidR="00A36F50">
        <w:t xml:space="preserve"> tarihli ve </w:t>
      </w:r>
      <w:r>
        <w:t>91</w:t>
      </w:r>
      <w:r w:rsidR="006D5C62">
        <w:t xml:space="preserve"> </w:t>
      </w:r>
      <w:r w:rsidR="00EC582E" w:rsidRPr="00E35A5A">
        <w:t>sayılı Raporu</w:t>
      </w:r>
      <w:r w:rsidR="009347E1">
        <w:t xml:space="preserve"> Büyükşehir Belediye Meclisinin </w:t>
      </w:r>
      <w:r>
        <w:t>10</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B3B57" w:rsidRDefault="00EC582E" w:rsidP="00DB3B57">
      <w:pPr>
        <w:tabs>
          <w:tab w:val="left" w:pos="9356"/>
        </w:tabs>
        <w:ind w:right="-1" w:firstLine="708"/>
        <w:jc w:val="both"/>
      </w:pPr>
      <w:r w:rsidRPr="00E35A5A">
        <w:t>Konu üzerinde yapılan görüşmelerde;</w:t>
      </w:r>
      <w:r w:rsidR="002C5AA0">
        <w:t xml:space="preserve"> </w:t>
      </w:r>
      <w:r w:rsidR="00DB3B57">
        <w:t>Ankara Minibüsçüler Esnaf Odasının 03.10.2025 tarih ve 2025/323 sayılı yazısı, Sincan Kamyoncular Minibüsçüler Oto. Halk Oto. ve Şoförler Esnaf Odasının 03.10.2025 tarih ve 2025/150 sayılı yazısı, Çubuk Şoförler ve Otomobilciler Esnaf Odasının 03.10.2025 tarih ve 2025/37 sayılı yazısı, Danıştay Sekizinci Dairesinin 23.06.2025 tarih ve 2023/5615 E</w:t>
      </w:r>
      <w:proofErr w:type="gramStart"/>
      <w:r w:rsidR="00DB3B57">
        <w:t>.,</w:t>
      </w:r>
      <w:proofErr w:type="gramEnd"/>
      <w:r w:rsidR="00DB3B57">
        <w:t xml:space="preserve"> 2025/6030 K. sayılı kararı yazılarında özetle “….. Ankara Büyükşehir Belediyesi sınırları içerisinde çalışan minibüslerin ekonomik şartları göz önünde tutularak esnafların mağdur olmaması için minibüs yolcu taşıma ücretlerinde yeni bir fiyat güncellenmesi istenil</w:t>
      </w:r>
      <w:r w:rsidR="00A313CE">
        <w:t>diği,</w:t>
      </w:r>
      <w:r w:rsidR="00DB3B57">
        <w:t xml:space="preserve"> </w:t>
      </w:r>
    </w:p>
    <w:p w:rsidR="00DB3B57" w:rsidRDefault="00DB3B57" w:rsidP="00DB3B57">
      <w:pPr>
        <w:pStyle w:val="msobodytextindent"/>
        <w:tabs>
          <w:tab w:val="left" w:pos="9355"/>
        </w:tabs>
        <w:ind w:firstLine="709"/>
      </w:pPr>
    </w:p>
    <w:p w:rsidR="00DB3B57" w:rsidRDefault="00DB3B57" w:rsidP="00DB3B57">
      <w:pPr>
        <w:pStyle w:val="msobodytextindent"/>
        <w:tabs>
          <w:tab w:val="left" w:pos="9355"/>
        </w:tabs>
        <w:ind w:firstLine="709"/>
      </w:pPr>
      <w:r>
        <w:t>Bilindiği üzere 23.07.2004 tarih ve 25531 sayılı Resmi Gazete de yayımlanan 5216 sayılı yasanın 9.maddesine dayanılarak İçişleri ve Çevre Şehircilik ve İklim Değişikliği Bakanlıkları tarafından 15 Haziran 2006 gün ve 26199 sayılı Resmi gazetede yayımlanarak yürürlüğe giren Büyükşehir Belediyeleri Koordinasyon Merkezleri Yönetmeliği çerçevesinde UKOME’nin Görevleri arasında “Kara, deniz, göl, nehir, kanal ve demiryolu üzerinde işletilen her türlü servis ve toplu taşıma araçları ile taksi sayılarını,  bilet ücret ve tarifelerini, zaman ve güzergâhlarını belirlemek; ...” hükmü çerçevesinde merkez ve ilçe sınırları içerisinde faaliyet gösteren minibüslerde uygulanacak ücret tarifeleri UKOME Genel Kurulunda değerlendirilerek karar alınmaktaydı.</w:t>
      </w:r>
    </w:p>
    <w:p w:rsidR="00DB3B57" w:rsidRDefault="00DB3B57" w:rsidP="00DB3B57">
      <w:pPr>
        <w:pStyle w:val="msobodytextindent"/>
        <w:tabs>
          <w:tab w:val="left" w:pos="9355"/>
        </w:tabs>
        <w:ind w:firstLine="709"/>
      </w:pPr>
    </w:p>
    <w:p w:rsidR="00DB3B57" w:rsidRDefault="00DB3B57" w:rsidP="00DB3B57">
      <w:pPr>
        <w:pStyle w:val="msobodytextindent"/>
        <w:tabs>
          <w:tab w:val="left" w:pos="9355"/>
        </w:tabs>
        <w:ind w:firstLine="709"/>
      </w:pPr>
      <w:r>
        <w:t>Ancak Büyükşehir Belediyeleri Koordinasyon Merkezleri Yönetmeliğinin Görev ve Yetkileri Başlığı Madde 18. ç bendi Bilet Ücret ve Tarifeleri kısmının iptali istemi ile açılan dava sonucunda Danıştay Sekizinci Dairesinin 23.06.2025 tarih ve 2023/5615 E</w:t>
      </w:r>
      <w:proofErr w:type="gramStart"/>
      <w:r>
        <w:t>.,</w:t>
      </w:r>
      <w:proofErr w:type="gramEnd"/>
      <w:r>
        <w:t xml:space="preserve"> 2025/6030 K. sayılı kararı ile “… </w:t>
      </w:r>
      <w:proofErr w:type="gramStart"/>
      <w:r>
        <w:t>bu</w:t>
      </w:r>
      <w:proofErr w:type="gramEnd"/>
      <w:r>
        <w:t xml:space="preserve"> durumda dayanağı kanun hükmünü aşarak ve kanun ile belirlenen yetkileri genişleterek bilet ücret ve tarifelerinin belirlenmesi hususunda UKOME’nin yetkili kılındığı dava konusu düzenlemede hukuka uyarlık bulunmadığı” gerekçesiyle “Dava konusu Yönetmeliğin 18. Maddesinin 1. Fıkrasının “ç” bendinde yer alan “bilet ücret ve tarifelerini” ibaresi yönünden iptal edilmiş” olup söz konusu düzenleme yönetmeliğe işlenmiştir. </w:t>
      </w:r>
    </w:p>
    <w:p w:rsidR="00DB3B57" w:rsidRDefault="00DB3B57" w:rsidP="00DB3B57">
      <w:pPr>
        <w:pStyle w:val="msobodytextindent"/>
        <w:tabs>
          <w:tab w:val="left" w:pos="9355"/>
        </w:tabs>
        <w:ind w:firstLine="709"/>
      </w:pPr>
    </w:p>
    <w:p w:rsidR="00DB3B57" w:rsidRDefault="00DB3B57" w:rsidP="00DB3B57">
      <w:pPr>
        <w:pStyle w:val="msobodytextindent"/>
        <w:tabs>
          <w:tab w:val="left" w:pos="9355"/>
        </w:tabs>
        <w:ind w:firstLine="709"/>
      </w:pPr>
      <w:r>
        <w:t xml:space="preserve">23.07.2004 tarih ve 25531 sayılı Resmi Gazetede yayınlanan 5216 sayılı Büyükşehir Belediye Kanununun Üçüncü Bölüm Büyükşehir Belediyesinin Görev, Yetki ve Sorumlulukları başlığı 7. Maddesi f) bendi “Büyükşehir ulaşım ana plânını yapmak veya yaptırmak ve uygulamak; ulaşım ve toplu taşıma hizmetlerini plânlamak ve koordinasyonu sağlamak; kara, deniz, su ve demiryolu üzerinde işletilen her türlü servis ve toplu taşıma araçları ile taksi sayılarını, bilet ücret ve tarifelerini, zaman ve güzergâhlarını belirlemek; </w:t>
      </w:r>
      <w:proofErr w:type="gramStart"/>
      <w:r>
        <w:t>……..,</w:t>
      </w:r>
      <w:proofErr w:type="gramEnd"/>
      <w:r>
        <w:t xml:space="preserve"> Kanunların belediyelere verdiği trafik düzenlemesinin gerektirdiği bütün işleri yürütmek.” hükmü kapsamında Belediyenin karar alma organı olan Belediye Meclisinde karar alınması gerektiğinden ilgi talep yazıları, mahkeme kararı ve Ankara merkez ile 5216 ve 6360 sayılı Kanunlarla bağlanan ilçe sınırları içerisinde faaliyet gösteren minibüslerde uygulanan ücret tarifesinin belirlenmesine ilişkin en son alınmış 13.02.2025 tarih ve 2025/15 sayılı UKOME Genel Kurulu </w:t>
      </w:r>
      <w:r w:rsidR="00A313CE">
        <w:t>Kararı,</w:t>
      </w:r>
      <w:bookmarkStart w:id="0" w:name="_GoBack"/>
      <w:bookmarkEnd w:id="0"/>
    </w:p>
    <w:p w:rsidR="00DB3B57" w:rsidRDefault="00DB3B57" w:rsidP="00DB3B57">
      <w:pPr>
        <w:pStyle w:val="msobodytextindent"/>
        <w:tabs>
          <w:tab w:val="left" w:pos="9355"/>
        </w:tabs>
        <w:ind w:firstLine="709"/>
      </w:pPr>
    </w:p>
    <w:p w:rsidR="00DB3B57" w:rsidRDefault="00DB3B57" w:rsidP="00DB3B57">
      <w:pPr>
        <w:pStyle w:val="msobodytextindent"/>
        <w:tabs>
          <w:tab w:val="left" w:pos="9355"/>
        </w:tabs>
        <w:ind w:firstLine="709"/>
      </w:pPr>
    </w:p>
    <w:p w:rsidR="00DB3B57" w:rsidRDefault="00DB3B57" w:rsidP="00DB3B57">
      <w:pPr>
        <w:pStyle w:val="msobodytextindent"/>
        <w:tabs>
          <w:tab w:val="left" w:pos="9355"/>
        </w:tabs>
        <w:ind w:firstLine="709"/>
      </w:pPr>
    </w:p>
    <w:p w:rsidR="00DB3B57" w:rsidRDefault="00DB3B57" w:rsidP="00DB3B57">
      <w:pPr>
        <w:ind w:firstLine="142"/>
        <w:jc w:val="center"/>
      </w:pPr>
      <w:r>
        <w:t>-2-</w:t>
      </w:r>
    </w:p>
    <w:p w:rsidR="00DB3B57" w:rsidRDefault="00DB3B57" w:rsidP="00DB3B57">
      <w:pPr>
        <w:pStyle w:val="msobodytextindent"/>
        <w:tabs>
          <w:tab w:val="left" w:pos="9355"/>
        </w:tabs>
        <w:ind w:firstLine="709"/>
      </w:pPr>
    </w:p>
    <w:p w:rsidR="00DB3B57" w:rsidRDefault="00DB3B57" w:rsidP="00DB3B57">
      <w:pPr>
        <w:pStyle w:val="msobodytextindent"/>
        <w:tabs>
          <w:tab w:val="left" w:pos="9355"/>
        </w:tabs>
        <w:ind w:firstLine="709"/>
      </w:pPr>
    </w:p>
    <w:p w:rsidR="00DB3B57" w:rsidRDefault="00DB3B57" w:rsidP="00DB3B57">
      <w:pPr>
        <w:pStyle w:val="msobodytextindent"/>
        <w:tabs>
          <w:tab w:val="left" w:pos="9355"/>
        </w:tabs>
        <w:ind w:firstLine="709"/>
      </w:pPr>
    </w:p>
    <w:tbl>
      <w:tblPr>
        <w:tblW w:w="9640" w:type="dxa"/>
        <w:tblInd w:w="-152" w:type="dxa"/>
        <w:tblCellMar>
          <w:left w:w="70" w:type="dxa"/>
          <w:right w:w="70" w:type="dxa"/>
        </w:tblCellMar>
        <w:tblLook w:val="04A0" w:firstRow="1" w:lastRow="0" w:firstColumn="1" w:lastColumn="0" w:noHBand="0" w:noVBand="1"/>
      </w:tblPr>
      <w:tblGrid>
        <w:gridCol w:w="3942"/>
        <w:gridCol w:w="2709"/>
        <w:gridCol w:w="2989"/>
      </w:tblGrid>
      <w:tr w:rsidR="00DB3B57" w:rsidTr="00903D35">
        <w:trPr>
          <w:trHeight w:val="335"/>
        </w:trPr>
        <w:tc>
          <w:tcPr>
            <w:tcW w:w="96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DB3B57" w:rsidRPr="003B4BB5" w:rsidRDefault="00DB3B57" w:rsidP="00903D35">
            <w:pPr>
              <w:jc w:val="center"/>
              <w:rPr>
                <w:b/>
                <w:bCs/>
                <w:color w:val="FF0000"/>
              </w:rPr>
            </w:pPr>
            <w:r w:rsidRPr="003B4BB5">
              <w:rPr>
                <w:b/>
                <w:bCs/>
              </w:rPr>
              <w:t>ANKARA ŞEHİR İÇİ MİNİBÜS DOLMUŞ YOLCU ÜCRETİNİN</w:t>
            </w:r>
            <w:r w:rsidRPr="003B4BB5">
              <w:t>;</w:t>
            </w:r>
          </w:p>
        </w:tc>
      </w:tr>
      <w:tr w:rsidR="00DB3B57" w:rsidTr="00903D35">
        <w:trPr>
          <w:trHeight w:val="276"/>
        </w:trPr>
        <w:tc>
          <w:tcPr>
            <w:tcW w:w="3942" w:type="dxa"/>
            <w:vMerge w:val="restart"/>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jc w:val="both"/>
              <w:rPr>
                <w:color w:val="000000"/>
              </w:rPr>
            </w:pPr>
            <w:r w:rsidRPr="003B4BB5">
              <w:rPr>
                <w:color w:val="000000"/>
              </w:rPr>
              <w:t> </w:t>
            </w:r>
          </w:p>
        </w:tc>
        <w:tc>
          <w:tcPr>
            <w:tcW w:w="270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
                <w:bCs/>
                <w:color w:val="000000"/>
              </w:rPr>
            </w:pPr>
            <w:r w:rsidRPr="003B4BB5">
              <w:rPr>
                <w:b/>
                <w:bCs/>
                <w:color w:val="000000"/>
              </w:rPr>
              <w:t>MEVCUT TARİFE</w:t>
            </w:r>
          </w:p>
        </w:tc>
        <w:tc>
          <w:tcPr>
            <w:tcW w:w="2989" w:type="dxa"/>
            <w:vMerge w:val="restart"/>
            <w:tcBorders>
              <w:top w:val="nil"/>
              <w:left w:val="single" w:sz="4" w:space="0" w:color="auto"/>
              <w:bottom w:val="single" w:sz="4" w:space="0" w:color="auto"/>
              <w:right w:val="single" w:sz="8" w:space="0" w:color="auto"/>
            </w:tcBorders>
            <w:shd w:val="clear" w:color="auto" w:fill="FFFFFF" w:themeFill="background1"/>
            <w:vAlign w:val="center"/>
            <w:hideMark/>
          </w:tcPr>
          <w:p w:rsidR="00DB3B57" w:rsidRPr="003B4BB5" w:rsidRDefault="00DB3B57" w:rsidP="00903D35">
            <w:pPr>
              <w:jc w:val="center"/>
              <w:rPr>
                <w:b/>
                <w:bCs/>
                <w:color w:val="000000"/>
              </w:rPr>
            </w:pPr>
            <w:r w:rsidRPr="003B4BB5">
              <w:rPr>
                <w:b/>
                <w:bCs/>
                <w:color w:val="000000"/>
              </w:rPr>
              <w:t xml:space="preserve">ORTALAMA               ZAM ORANI 34,6% </w:t>
            </w:r>
          </w:p>
        </w:tc>
      </w:tr>
      <w:tr w:rsidR="00DB3B57" w:rsidTr="00903D35">
        <w:trPr>
          <w:trHeight w:val="276"/>
        </w:trPr>
        <w:tc>
          <w:tcPr>
            <w:tcW w:w="3942" w:type="dxa"/>
            <w:vMerge/>
            <w:tcBorders>
              <w:top w:val="nil"/>
              <w:left w:val="single" w:sz="8" w:space="0" w:color="auto"/>
              <w:bottom w:val="single" w:sz="4" w:space="0" w:color="auto"/>
              <w:right w:val="single" w:sz="4" w:space="0" w:color="auto"/>
            </w:tcBorders>
            <w:vAlign w:val="center"/>
            <w:hideMark/>
          </w:tcPr>
          <w:p w:rsidR="00DB3B57" w:rsidRPr="003B4BB5" w:rsidRDefault="00DB3B57" w:rsidP="00903D35">
            <w:pPr>
              <w:rPr>
                <w:color w:val="000000"/>
              </w:rPr>
            </w:pPr>
          </w:p>
        </w:tc>
        <w:tc>
          <w:tcPr>
            <w:tcW w:w="2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B3B57" w:rsidRPr="003B4BB5" w:rsidRDefault="00DB3B57" w:rsidP="00903D35">
            <w:pPr>
              <w:rPr>
                <w:b/>
                <w:bCs/>
                <w:color w:val="000000"/>
              </w:rPr>
            </w:pPr>
          </w:p>
        </w:tc>
        <w:tc>
          <w:tcPr>
            <w:tcW w:w="2989" w:type="dxa"/>
            <w:vMerge/>
            <w:tcBorders>
              <w:top w:val="nil"/>
              <w:left w:val="single" w:sz="4" w:space="0" w:color="auto"/>
              <w:bottom w:val="single" w:sz="4" w:space="0" w:color="auto"/>
              <w:right w:val="single" w:sz="8" w:space="0" w:color="auto"/>
            </w:tcBorders>
            <w:shd w:val="clear" w:color="auto" w:fill="FFFFFF" w:themeFill="background1"/>
            <w:vAlign w:val="center"/>
            <w:hideMark/>
          </w:tcPr>
          <w:p w:rsidR="00DB3B57" w:rsidRPr="003B4BB5" w:rsidRDefault="00DB3B57" w:rsidP="00903D35">
            <w:pPr>
              <w:rPr>
                <w:b/>
                <w:bCs/>
                <w:color w:val="000000"/>
              </w:rPr>
            </w:pPr>
          </w:p>
        </w:tc>
      </w:tr>
      <w:tr w:rsidR="00DB3B57" w:rsidTr="00903D35">
        <w:trPr>
          <w:trHeight w:val="262"/>
        </w:trPr>
        <w:tc>
          <w:tcPr>
            <w:tcW w:w="3942" w:type="dxa"/>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rPr>
                <w:bCs/>
                <w:color w:val="000000"/>
              </w:rPr>
            </w:pPr>
            <w:r w:rsidRPr="003B4BB5">
              <w:rPr>
                <w:bCs/>
                <w:color w:val="000000"/>
              </w:rPr>
              <w:t>KISA MESAFE</w:t>
            </w:r>
          </w:p>
        </w:tc>
        <w:tc>
          <w:tcPr>
            <w:tcW w:w="2709" w:type="dxa"/>
            <w:tcBorders>
              <w:top w:val="nil"/>
              <w:left w:val="nil"/>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30,00 TL.</w:t>
            </w:r>
          </w:p>
        </w:tc>
        <w:tc>
          <w:tcPr>
            <w:tcW w:w="2989" w:type="dxa"/>
            <w:tcBorders>
              <w:top w:val="nil"/>
              <w:left w:val="nil"/>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40,00 TL.</w:t>
            </w:r>
          </w:p>
        </w:tc>
      </w:tr>
      <w:tr w:rsidR="00DB3B57" w:rsidTr="00903D35">
        <w:trPr>
          <w:trHeight w:val="276"/>
        </w:trPr>
        <w:tc>
          <w:tcPr>
            <w:tcW w:w="3942" w:type="dxa"/>
            <w:vMerge w:val="restart"/>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rPr>
                <w:bCs/>
                <w:color w:val="000000"/>
              </w:rPr>
            </w:pPr>
            <w:r w:rsidRPr="003B4BB5">
              <w:rPr>
                <w:bCs/>
                <w:color w:val="000000"/>
              </w:rPr>
              <w:t>EN UZUN MESAFE</w:t>
            </w:r>
          </w:p>
        </w:tc>
        <w:tc>
          <w:tcPr>
            <w:tcW w:w="270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35,00 TL.</w:t>
            </w:r>
          </w:p>
        </w:tc>
        <w:tc>
          <w:tcPr>
            <w:tcW w:w="2989" w:type="dxa"/>
            <w:vMerge w:val="restart"/>
            <w:tcBorders>
              <w:top w:val="nil"/>
              <w:left w:val="single" w:sz="4" w:space="0" w:color="auto"/>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45,00 TL.</w:t>
            </w:r>
          </w:p>
        </w:tc>
      </w:tr>
      <w:tr w:rsidR="00DB3B57" w:rsidTr="00903D35">
        <w:trPr>
          <w:trHeight w:val="276"/>
        </w:trPr>
        <w:tc>
          <w:tcPr>
            <w:tcW w:w="3942" w:type="dxa"/>
            <w:vMerge/>
            <w:tcBorders>
              <w:top w:val="nil"/>
              <w:left w:val="single" w:sz="8" w:space="0" w:color="auto"/>
              <w:bottom w:val="single" w:sz="4" w:space="0" w:color="auto"/>
              <w:right w:val="single" w:sz="4" w:space="0" w:color="auto"/>
            </w:tcBorders>
            <w:vAlign w:val="center"/>
            <w:hideMark/>
          </w:tcPr>
          <w:p w:rsidR="00DB3B57" w:rsidRPr="003B4BB5" w:rsidRDefault="00DB3B57" w:rsidP="00903D35">
            <w:pPr>
              <w:rPr>
                <w:bCs/>
                <w:color w:val="000000"/>
              </w:rPr>
            </w:pPr>
          </w:p>
        </w:tc>
        <w:tc>
          <w:tcPr>
            <w:tcW w:w="2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B3B57" w:rsidRPr="003B4BB5" w:rsidRDefault="00DB3B57" w:rsidP="00903D35">
            <w:pPr>
              <w:rPr>
                <w:bCs/>
                <w:color w:val="000000"/>
              </w:rPr>
            </w:pPr>
          </w:p>
        </w:tc>
        <w:tc>
          <w:tcPr>
            <w:tcW w:w="2989" w:type="dxa"/>
            <w:vMerge/>
            <w:tcBorders>
              <w:top w:val="nil"/>
              <w:left w:val="single" w:sz="4" w:space="0" w:color="auto"/>
              <w:bottom w:val="single" w:sz="4" w:space="0" w:color="auto"/>
              <w:right w:val="single" w:sz="8" w:space="0" w:color="auto"/>
            </w:tcBorders>
            <w:shd w:val="clear" w:color="auto" w:fill="FFFFFF" w:themeFill="background1"/>
            <w:vAlign w:val="center"/>
            <w:hideMark/>
          </w:tcPr>
          <w:p w:rsidR="00DB3B57" w:rsidRPr="003B4BB5" w:rsidRDefault="00DB3B57" w:rsidP="00903D35">
            <w:pPr>
              <w:rPr>
                <w:bCs/>
                <w:color w:val="000000"/>
              </w:rPr>
            </w:pPr>
          </w:p>
        </w:tc>
      </w:tr>
      <w:tr w:rsidR="00DB3B57" w:rsidTr="00903D35">
        <w:trPr>
          <w:trHeight w:val="317"/>
        </w:trPr>
        <w:tc>
          <w:tcPr>
            <w:tcW w:w="3942" w:type="dxa"/>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rPr>
                <w:bCs/>
                <w:color w:val="000000"/>
              </w:rPr>
            </w:pPr>
            <w:r w:rsidRPr="003B4BB5">
              <w:rPr>
                <w:bCs/>
                <w:color w:val="000000"/>
              </w:rPr>
              <w:t>ORTAÖĞRETİM ÖĞRENCİ                  (İlkokul, Ortaokul, Lise)</w:t>
            </w:r>
          </w:p>
        </w:tc>
        <w:tc>
          <w:tcPr>
            <w:tcW w:w="2709" w:type="dxa"/>
            <w:tcBorders>
              <w:top w:val="nil"/>
              <w:left w:val="nil"/>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20,00 TL.</w:t>
            </w:r>
          </w:p>
        </w:tc>
        <w:tc>
          <w:tcPr>
            <w:tcW w:w="2989" w:type="dxa"/>
            <w:tcBorders>
              <w:top w:val="nil"/>
              <w:left w:val="nil"/>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25,00 TL.</w:t>
            </w:r>
          </w:p>
        </w:tc>
      </w:tr>
      <w:tr w:rsidR="00DB3B57" w:rsidTr="00903D35">
        <w:trPr>
          <w:trHeight w:val="335"/>
        </w:trPr>
        <w:tc>
          <w:tcPr>
            <w:tcW w:w="9640"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DB3B57" w:rsidRPr="003B4BB5" w:rsidRDefault="00DB3B57" w:rsidP="00903D35">
            <w:pPr>
              <w:jc w:val="center"/>
              <w:rPr>
                <w:b/>
                <w:bCs/>
                <w:color w:val="FF0000"/>
              </w:rPr>
            </w:pPr>
            <w:r w:rsidRPr="003B4BB5">
              <w:rPr>
                <w:b/>
                <w:bCs/>
              </w:rPr>
              <w:t>5216 VE 6360 SAYILI KANUNLARLA BAĞLANAN İLÇE SINIRLARI İÇİNDE YOLCU TAŞIYAN MİNİBÜSLERDE YOLCU ÜCRETİNİN</w:t>
            </w:r>
            <w:r w:rsidRPr="003B4BB5">
              <w:t>;</w:t>
            </w:r>
          </w:p>
        </w:tc>
      </w:tr>
      <w:tr w:rsidR="00DB3B57" w:rsidTr="00903D35">
        <w:trPr>
          <w:trHeight w:val="276"/>
        </w:trPr>
        <w:tc>
          <w:tcPr>
            <w:tcW w:w="3942" w:type="dxa"/>
            <w:vMerge w:val="restart"/>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rPr>
                <w:color w:val="000000"/>
              </w:rPr>
            </w:pPr>
            <w:r w:rsidRPr="003B4BB5">
              <w:rPr>
                <w:color w:val="000000"/>
              </w:rPr>
              <w:t> </w:t>
            </w:r>
          </w:p>
        </w:tc>
        <w:tc>
          <w:tcPr>
            <w:tcW w:w="270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
                <w:bCs/>
                <w:color w:val="000000"/>
              </w:rPr>
            </w:pPr>
            <w:r w:rsidRPr="003B4BB5">
              <w:rPr>
                <w:b/>
                <w:bCs/>
                <w:color w:val="000000"/>
              </w:rPr>
              <w:t>MEVCUT TARİFE</w:t>
            </w:r>
          </w:p>
        </w:tc>
        <w:tc>
          <w:tcPr>
            <w:tcW w:w="2989" w:type="dxa"/>
            <w:vMerge w:val="restart"/>
            <w:tcBorders>
              <w:top w:val="nil"/>
              <w:left w:val="single" w:sz="4" w:space="0" w:color="auto"/>
              <w:bottom w:val="single" w:sz="4" w:space="0" w:color="auto"/>
              <w:right w:val="single" w:sz="8" w:space="0" w:color="auto"/>
            </w:tcBorders>
            <w:shd w:val="clear" w:color="auto" w:fill="FFFFFF" w:themeFill="background1"/>
            <w:vAlign w:val="center"/>
            <w:hideMark/>
          </w:tcPr>
          <w:p w:rsidR="00DB3B57" w:rsidRPr="003B4BB5" w:rsidRDefault="00DB3B57" w:rsidP="00903D35">
            <w:pPr>
              <w:jc w:val="center"/>
              <w:rPr>
                <w:b/>
                <w:bCs/>
                <w:color w:val="000000"/>
              </w:rPr>
            </w:pPr>
            <w:r w:rsidRPr="003B4BB5">
              <w:rPr>
                <w:b/>
                <w:bCs/>
                <w:color w:val="000000"/>
              </w:rPr>
              <w:t>ORTALAMA                ZAM ORANI 34,6%</w:t>
            </w:r>
          </w:p>
        </w:tc>
      </w:tr>
      <w:tr w:rsidR="00DB3B57" w:rsidTr="00903D35">
        <w:trPr>
          <w:trHeight w:val="276"/>
        </w:trPr>
        <w:tc>
          <w:tcPr>
            <w:tcW w:w="3942" w:type="dxa"/>
            <w:vMerge/>
            <w:tcBorders>
              <w:top w:val="nil"/>
              <w:left w:val="single" w:sz="8" w:space="0" w:color="auto"/>
              <w:bottom w:val="single" w:sz="4" w:space="0" w:color="auto"/>
              <w:right w:val="single" w:sz="4" w:space="0" w:color="auto"/>
            </w:tcBorders>
            <w:vAlign w:val="center"/>
            <w:hideMark/>
          </w:tcPr>
          <w:p w:rsidR="00DB3B57" w:rsidRPr="003B4BB5" w:rsidRDefault="00DB3B57" w:rsidP="00903D35">
            <w:pPr>
              <w:rPr>
                <w:color w:val="000000"/>
              </w:rPr>
            </w:pPr>
          </w:p>
        </w:tc>
        <w:tc>
          <w:tcPr>
            <w:tcW w:w="2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B3B57" w:rsidRPr="003B4BB5" w:rsidRDefault="00DB3B57" w:rsidP="00903D35">
            <w:pPr>
              <w:rPr>
                <w:b/>
                <w:bCs/>
                <w:color w:val="000000"/>
              </w:rPr>
            </w:pPr>
          </w:p>
        </w:tc>
        <w:tc>
          <w:tcPr>
            <w:tcW w:w="2989" w:type="dxa"/>
            <w:vMerge/>
            <w:tcBorders>
              <w:top w:val="nil"/>
              <w:left w:val="single" w:sz="4" w:space="0" w:color="auto"/>
              <w:bottom w:val="single" w:sz="4" w:space="0" w:color="auto"/>
              <w:right w:val="single" w:sz="8" w:space="0" w:color="auto"/>
            </w:tcBorders>
            <w:shd w:val="clear" w:color="auto" w:fill="FFFFFF" w:themeFill="background1"/>
            <w:vAlign w:val="center"/>
            <w:hideMark/>
          </w:tcPr>
          <w:p w:rsidR="00DB3B57" w:rsidRPr="003B4BB5" w:rsidRDefault="00DB3B57" w:rsidP="00903D35">
            <w:pPr>
              <w:rPr>
                <w:b/>
                <w:bCs/>
                <w:color w:val="000000"/>
              </w:rPr>
            </w:pPr>
          </w:p>
        </w:tc>
      </w:tr>
      <w:tr w:rsidR="00DB3B57" w:rsidTr="00903D35">
        <w:trPr>
          <w:trHeight w:val="256"/>
        </w:trPr>
        <w:tc>
          <w:tcPr>
            <w:tcW w:w="3942" w:type="dxa"/>
            <w:tcBorders>
              <w:top w:val="nil"/>
              <w:left w:val="single" w:sz="8" w:space="0" w:color="auto"/>
              <w:bottom w:val="single" w:sz="4" w:space="0" w:color="auto"/>
              <w:right w:val="single" w:sz="4" w:space="0" w:color="auto"/>
            </w:tcBorders>
            <w:shd w:val="clear" w:color="000000" w:fill="FFFFFF"/>
            <w:noWrap/>
            <w:vAlign w:val="center"/>
            <w:hideMark/>
          </w:tcPr>
          <w:p w:rsidR="00DB3B57" w:rsidRPr="003B4BB5" w:rsidRDefault="00DB3B57" w:rsidP="00903D35">
            <w:pPr>
              <w:rPr>
                <w:bCs/>
                <w:color w:val="000000"/>
              </w:rPr>
            </w:pPr>
            <w:r w:rsidRPr="003B4BB5">
              <w:rPr>
                <w:bCs/>
                <w:color w:val="000000"/>
              </w:rPr>
              <w:t>KISA MESAFE</w:t>
            </w:r>
          </w:p>
        </w:tc>
        <w:tc>
          <w:tcPr>
            <w:tcW w:w="2709" w:type="dxa"/>
            <w:tcBorders>
              <w:top w:val="nil"/>
              <w:left w:val="nil"/>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25,00 TL.</w:t>
            </w:r>
          </w:p>
        </w:tc>
        <w:tc>
          <w:tcPr>
            <w:tcW w:w="2989" w:type="dxa"/>
            <w:tcBorders>
              <w:top w:val="nil"/>
              <w:left w:val="nil"/>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35,00 TL.</w:t>
            </w:r>
          </w:p>
        </w:tc>
      </w:tr>
      <w:tr w:rsidR="00DB3B57" w:rsidTr="00903D35">
        <w:trPr>
          <w:trHeight w:val="262"/>
        </w:trPr>
        <w:tc>
          <w:tcPr>
            <w:tcW w:w="3942" w:type="dxa"/>
            <w:tcBorders>
              <w:top w:val="nil"/>
              <w:left w:val="single" w:sz="8" w:space="0" w:color="auto"/>
              <w:bottom w:val="single" w:sz="4" w:space="0" w:color="auto"/>
              <w:right w:val="single" w:sz="4" w:space="0" w:color="auto"/>
            </w:tcBorders>
            <w:shd w:val="clear" w:color="000000" w:fill="FFFFFF"/>
            <w:noWrap/>
            <w:vAlign w:val="center"/>
            <w:hideMark/>
          </w:tcPr>
          <w:p w:rsidR="00DB3B57" w:rsidRPr="003B4BB5" w:rsidRDefault="00DB3B57" w:rsidP="00903D35">
            <w:pPr>
              <w:rPr>
                <w:bCs/>
                <w:color w:val="000000"/>
              </w:rPr>
            </w:pPr>
            <w:r w:rsidRPr="003B4BB5">
              <w:rPr>
                <w:bCs/>
                <w:color w:val="000000"/>
              </w:rPr>
              <w:t>EN UZUN MESAFE</w:t>
            </w:r>
          </w:p>
        </w:tc>
        <w:tc>
          <w:tcPr>
            <w:tcW w:w="2709" w:type="dxa"/>
            <w:tcBorders>
              <w:top w:val="nil"/>
              <w:left w:val="nil"/>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30,00 TL.</w:t>
            </w:r>
          </w:p>
        </w:tc>
        <w:tc>
          <w:tcPr>
            <w:tcW w:w="2989" w:type="dxa"/>
            <w:tcBorders>
              <w:top w:val="nil"/>
              <w:left w:val="nil"/>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40,00 TL.</w:t>
            </w:r>
          </w:p>
        </w:tc>
      </w:tr>
      <w:tr w:rsidR="00DB3B57" w:rsidTr="00903D35">
        <w:trPr>
          <w:trHeight w:val="237"/>
        </w:trPr>
        <w:tc>
          <w:tcPr>
            <w:tcW w:w="3942" w:type="dxa"/>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rPr>
                <w:bCs/>
                <w:color w:val="000000"/>
              </w:rPr>
            </w:pPr>
            <w:r w:rsidRPr="003B4BB5">
              <w:rPr>
                <w:bCs/>
                <w:color w:val="000000"/>
              </w:rPr>
              <w:t>İNDİRİMLİ YOLCU ÜCRETİ</w:t>
            </w:r>
          </w:p>
        </w:tc>
        <w:tc>
          <w:tcPr>
            <w:tcW w:w="2709" w:type="dxa"/>
            <w:tcBorders>
              <w:top w:val="nil"/>
              <w:left w:val="nil"/>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18,00 TL.</w:t>
            </w:r>
          </w:p>
        </w:tc>
        <w:tc>
          <w:tcPr>
            <w:tcW w:w="2989" w:type="dxa"/>
            <w:tcBorders>
              <w:top w:val="nil"/>
              <w:left w:val="nil"/>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25,00 TL.</w:t>
            </w:r>
          </w:p>
        </w:tc>
      </w:tr>
      <w:tr w:rsidR="00DB3B57" w:rsidTr="00903D35">
        <w:trPr>
          <w:trHeight w:val="244"/>
        </w:trPr>
        <w:tc>
          <w:tcPr>
            <w:tcW w:w="3942" w:type="dxa"/>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rPr>
                <w:bCs/>
                <w:color w:val="000000"/>
              </w:rPr>
            </w:pPr>
            <w:r w:rsidRPr="003B4BB5">
              <w:rPr>
                <w:bCs/>
                <w:color w:val="000000"/>
              </w:rPr>
              <w:t>KAHRAMANKAZAN-OSTİM</w:t>
            </w:r>
          </w:p>
        </w:tc>
        <w:tc>
          <w:tcPr>
            <w:tcW w:w="2709" w:type="dxa"/>
            <w:tcBorders>
              <w:top w:val="nil"/>
              <w:left w:val="nil"/>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45,00 TL.</w:t>
            </w:r>
          </w:p>
        </w:tc>
        <w:tc>
          <w:tcPr>
            <w:tcW w:w="2989" w:type="dxa"/>
            <w:tcBorders>
              <w:top w:val="nil"/>
              <w:left w:val="nil"/>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60,00 TL.</w:t>
            </w:r>
          </w:p>
        </w:tc>
      </w:tr>
      <w:tr w:rsidR="00DB3B57" w:rsidTr="00903D35">
        <w:trPr>
          <w:trHeight w:val="268"/>
        </w:trPr>
        <w:tc>
          <w:tcPr>
            <w:tcW w:w="3942" w:type="dxa"/>
            <w:tcBorders>
              <w:top w:val="nil"/>
              <w:left w:val="single" w:sz="8" w:space="0" w:color="auto"/>
              <w:bottom w:val="single" w:sz="4" w:space="0" w:color="auto"/>
              <w:right w:val="single" w:sz="4" w:space="0" w:color="auto"/>
            </w:tcBorders>
            <w:shd w:val="clear" w:color="000000" w:fill="FFFFFF"/>
            <w:vAlign w:val="center"/>
            <w:hideMark/>
          </w:tcPr>
          <w:p w:rsidR="00DB3B57" w:rsidRPr="003B4BB5" w:rsidRDefault="00DB3B57" w:rsidP="00903D35">
            <w:pPr>
              <w:rPr>
                <w:bCs/>
                <w:color w:val="000000"/>
              </w:rPr>
            </w:pPr>
            <w:r w:rsidRPr="003B4BB5">
              <w:rPr>
                <w:bCs/>
                <w:color w:val="000000"/>
              </w:rPr>
              <w:t>BEYPAZARI DIŞ MAHALLELER</w:t>
            </w:r>
          </w:p>
        </w:tc>
        <w:tc>
          <w:tcPr>
            <w:tcW w:w="2709" w:type="dxa"/>
            <w:tcBorders>
              <w:top w:val="nil"/>
              <w:left w:val="nil"/>
              <w:bottom w:val="single" w:sz="4" w:space="0" w:color="auto"/>
              <w:right w:val="single" w:sz="4" w:space="0" w:color="auto"/>
            </w:tcBorders>
            <w:shd w:val="clear" w:color="auto" w:fill="FFFFFF" w:themeFill="background1"/>
            <w:vAlign w:val="center"/>
            <w:hideMark/>
          </w:tcPr>
          <w:p w:rsidR="00DB3B57" w:rsidRPr="003B4BB5" w:rsidRDefault="00DB3B57" w:rsidP="00903D35">
            <w:pPr>
              <w:jc w:val="center"/>
              <w:rPr>
                <w:bCs/>
                <w:color w:val="000000"/>
              </w:rPr>
            </w:pPr>
            <w:r w:rsidRPr="003B4BB5">
              <w:rPr>
                <w:bCs/>
                <w:color w:val="000000"/>
              </w:rPr>
              <w:t>60,00 TL.</w:t>
            </w:r>
          </w:p>
        </w:tc>
        <w:tc>
          <w:tcPr>
            <w:tcW w:w="2989" w:type="dxa"/>
            <w:tcBorders>
              <w:top w:val="nil"/>
              <w:left w:val="nil"/>
              <w:bottom w:val="single" w:sz="4" w:space="0" w:color="auto"/>
              <w:right w:val="single" w:sz="8" w:space="0" w:color="auto"/>
            </w:tcBorders>
            <w:shd w:val="clear" w:color="auto" w:fill="FFFFFF" w:themeFill="background1"/>
            <w:noWrap/>
            <w:vAlign w:val="center"/>
            <w:hideMark/>
          </w:tcPr>
          <w:p w:rsidR="00DB3B57" w:rsidRPr="003B4BB5" w:rsidRDefault="00DB3B57" w:rsidP="00903D35">
            <w:pPr>
              <w:jc w:val="center"/>
              <w:rPr>
                <w:bCs/>
                <w:color w:val="000000"/>
              </w:rPr>
            </w:pPr>
            <w:r w:rsidRPr="003B4BB5">
              <w:rPr>
                <w:bCs/>
                <w:color w:val="000000"/>
              </w:rPr>
              <w:t>80,00 TL.</w:t>
            </w:r>
          </w:p>
        </w:tc>
      </w:tr>
    </w:tbl>
    <w:p w:rsidR="00DB3B57" w:rsidRDefault="00DB3B57" w:rsidP="00DB3B57">
      <w:pPr>
        <w:pStyle w:val="msobodytextindent"/>
        <w:tabs>
          <w:tab w:val="left" w:pos="9355"/>
        </w:tabs>
        <w:ind w:firstLine="709"/>
      </w:pPr>
    </w:p>
    <w:p w:rsidR="001756AB" w:rsidRDefault="00DB3B57" w:rsidP="009347E1">
      <w:pPr>
        <w:tabs>
          <w:tab w:val="left" w:pos="9356"/>
        </w:tabs>
        <w:ind w:right="-1" w:firstLine="708"/>
        <w:jc w:val="both"/>
      </w:pPr>
      <w:r>
        <w:t xml:space="preserve">Ankara merkez ile 5216 ve 6360 sayılı kanunlarla bağlanan ilçe sınırları içerisinde faaliyet gösteren minibüslerde uygulanacak ücret tarifelerinin kabulüne </w:t>
      </w:r>
      <w:r w:rsidR="00936478" w:rsidRPr="00896330">
        <w:t xml:space="preserve">ilişkin </w:t>
      </w:r>
      <w:r>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974" w:type="dxa"/>
            <w:vAlign w:val="center"/>
          </w:tcPr>
          <w:p w:rsidR="00764D3D" w:rsidRDefault="00DB3B57"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 No: 1865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3CE"/>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5CA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19CB-22B7-4A59-A978-70669AD8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2025-12-11T09:56:00Z</cp:lastPrinted>
  <dcterms:created xsi:type="dcterms:W3CDTF">2025-12-11T06:25:00Z</dcterms:created>
  <dcterms:modified xsi:type="dcterms:W3CDTF">2025-12-11T09:57:00Z</dcterms:modified>
</cp:coreProperties>
</file>