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E92169">
        <w:t>1510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A01665" w:rsidRDefault="005C0890" w:rsidP="00E92169">
      <w:pPr>
        <w:ind w:right="-1"/>
        <w:jc w:val="center"/>
      </w:pPr>
      <w:r w:rsidRPr="002D00A5">
        <w:t>K A R A R</w:t>
      </w:r>
    </w:p>
    <w:p w:rsidR="00A01665" w:rsidRDefault="00A01665" w:rsidP="00AA7ED1">
      <w:pPr>
        <w:ind w:right="-1"/>
      </w:pPr>
    </w:p>
    <w:p w:rsidR="00F904DE" w:rsidRDefault="00F904DE" w:rsidP="00AA7ED1">
      <w:pPr>
        <w:ind w:right="-1"/>
      </w:pPr>
    </w:p>
    <w:p w:rsidR="00EC582E" w:rsidRDefault="00E92169" w:rsidP="00AA7ED1">
      <w:pPr>
        <w:ind w:right="-1" w:firstLine="708"/>
        <w:jc w:val="both"/>
      </w:pPr>
      <w:r>
        <w:t>Kahramankazan İlçesi Saray Mahallesi 220426/11 ve 14, 220431/8, 220428/3, 4, 5 ve 6, 220425/1 ada parsellerde 1/5000 ve 1/1000 ölçekli imar plan değişikliğine</w:t>
      </w:r>
      <w:r w:rsidR="001A52CF">
        <w:t xml:space="preserve"> ilişkin </w:t>
      </w:r>
      <w:r w:rsidR="00005846" w:rsidRPr="00A35AF8">
        <w:t>İmar ve Bayındırlık</w:t>
      </w:r>
      <w:r w:rsidR="00A574C9" w:rsidRPr="007F325F">
        <w:t xml:space="preserve"> Komisyonu</w:t>
      </w:r>
      <w:r w:rsidR="00005846">
        <w:t xml:space="preserve">nun </w:t>
      </w:r>
      <w:r>
        <w:t>24</w:t>
      </w:r>
      <w:r w:rsidR="00005846">
        <w:t>.</w:t>
      </w:r>
      <w:r w:rsidR="009F5EE0">
        <w:t>09</w:t>
      </w:r>
      <w:r w:rsidR="00B52587">
        <w:t>.2025</w:t>
      </w:r>
      <w:r w:rsidR="00EC582E" w:rsidRPr="00E35A5A">
        <w:t xml:space="preserve"> tarihli ve </w:t>
      </w:r>
      <w:r w:rsidR="00303BD6">
        <w:t>3</w:t>
      </w:r>
      <w:r>
        <w:t>10</w:t>
      </w:r>
      <w:r w:rsidR="001A52CF">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92169" w:rsidRDefault="00EC582E" w:rsidP="00E92169">
      <w:pPr>
        <w:tabs>
          <w:tab w:val="left" w:pos="0"/>
        </w:tabs>
        <w:ind w:right="-1" w:firstLine="709"/>
        <w:jc w:val="both"/>
      </w:pPr>
      <w:r w:rsidRPr="00E35A5A">
        <w:t>Konu üzerinde yapılan görüşmelerde;</w:t>
      </w:r>
      <w:r w:rsidR="00896330">
        <w:t xml:space="preserve"> </w:t>
      </w:r>
      <w:r w:rsidR="00E92169" w:rsidRPr="009339A4">
        <w:t>Kahramankazan Belediye Başkanlığı İmar ve Şehircilik Müdürlüğü</w:t>
      </w:r>
      <w:r w:rsidR="00E92169">
        <w:t>nün</w:t>
      </w:r>
      <w:r w:rsidR="00E92169" w:rsidRPr="009339A4">
        <w:t xml:space="preserve"> 23.05.2025 tarihli ve </w:t>
      </w:r>
      <w:r w:rsidR="00E92169">
        <w:t>E</w:t>
      </w:r>
      <w:r w:rsidR="00E92169" w:rsidRPr="009339A4">
        <w:t xml:space="preserve">-6677 sayılı </w:t>
      </w:r>
      <w:r w:rsidR="00E92169">
        <w:t>yazı ekinde sunulan, Kahramankazan Belediye Meclisi</w:t>
      </w:r>
      <w:r w:rsidR="00E92169" w:rsidRPr="009339A4">
        <w:t>nin 09.05.2025 gün ve 80 sayılı Kararı ile uygun görülen, Kahramankazan İlçesi, Saray Mahallesi, 220426/11 ve 14 no</w:t>
      </w:r>
      <w:r w:rsidR="00E92169">
        <w:t>.</w:t>
      </w:r>
      <w:r w:rsidR="00E92169" w:rsidRPr="009339A4">
        <w:t>lu ada/parseller, 220431/8 no</w:t>
      </w:r>
      <w:r w:rsidR="00E92169">
        <w:t>.</w:t>
      </w:r>
      <w:r w:rsidR="00E92169" w:rsidRPr="009339A4">
        <w:t>lu ada/parsel, 220428/3, 4, 5 ve 6 no</w:t>
      </w:r>
      <w:r w:rsidR="00E92169">
        <w:t>.</w:t>
      </w:r>
      <w:r w:rsidR="00E92169" w:rsidRPr="009339A4">
        <w:t>lu ada/parseller ve 220425/1 no</w:t>
      </w:r>
      <w:r w:rsidR="00E92169">
        <w:t>.</w:t>
      </w:r>
      <w:r w:rsidR="00E92169" w:rsidRPr="009339A4">
        <w:t>lu ada/parsel ve çevresine yönelik 1/1000 ölçekli uygulama imar planı değişikliği teklifi</w:t>
      </w:r>
      <w:r w:rsidR="00E92169">
        <w:t>nin</w:t>
      </w:r>
      <w:r w:rsidR="00E92169" w:rsidRPr="009339A4">
        <w:t xml:space="preserve">, 1/5000 ölçekli nazım imar planı değişikliği teklifi ile birlikte, 5216 sayılı Kanun gereğince bir karar alınmak üzere </w:t>
      </w:r>
      <w:r w:rsidR="00E92169">
        <w:t xml:space="preserve">İmar ve Şehircilik Dairesi </w:t>
      </w:r>
      <w:r w:rsidR="00E92169" w:rsidRPr="009339A4">
        <w:t>Başkanlığı</w:t>
      </w:r>
      <w:r w:rsidR="00E92169">
        <w:t>n</w:t>
      </w:r>
      <w:r w:rsidR="00E92169" w:rsidRPr="009339A4">
        <w:t>a sunul</w:t>
      </w:r>
      <w:r w:rsidR="00E92169">
        <w:t>duğu,</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rPr>
          <w:b/>
        </w:rPr>
      </w:pPr>
      <w:r w:rsidRPr="009339A4">
        <w:rPr>
          <w:b/>
        </w:rPr>
        <w:t>Yapılan incelemede;</w:t>
      </w:r>
    </w:p>
    <w:p w:rsidR="00E92169" w:rsidRDefault="00E92169" w:rsidP="00E92169">
      <w:pPr>
        <w:tabs>
          <w:tab w:val="left" w:pos="0"/>
        </w:tabs>
        <w:ind w:right="-1" w:firstLine="709"/>
        <w:jc w:val="both"/>
      </w:pPr>
      <w:r w:rsidRPr="009339A4">
        <w:t>Teklife Konu Alanın Mülkiyet ve Mevcut İmar Durumunun; Plan değişiklik teklifine konu alanın; Saray Mahallesi sınırlarında, 220426/11 ve 14 no</w:t>
      </w:r>
      <w:r>
        <w:t>.</w:t>
      </w:r>
      <w:r w:rsidRPr="009339A4">
        <w:t>lu ada/parseller, 220431/8 no</w:t>
      </w:r>
      <w:r>
        <w:t>.</w:t>
      </w:r>
      <w:r w:rsidRPr="009339A4">
        <w:t>lu ada/parsel, 220428/3-4-5 ve 6 no</w:t>
      </w:r>
      <w:r>
        <w:t>.</w:t>
      </w:r>
      <w:r w:rsidRPr="009339A4">
        <w:t>lu ada/parseller ve 220425/1 no</w:t>
      </w:r>
      <w:r>
        <w:t>.</w:t>
      </w:r>
      <w:r w:rsidRPr="009339A4">
        <w:t>lu ada/parselleri ve kamuya terkli park alanlarını kapsadığı ve toplam planlama alan büyüklüğünün yaklaşık 101.854m</w:t>
      </w:r>
      <w:r w:rsidRPr="00160EFD">
        <w:rPr>
          <w:vertAlign w:val="superscript"/>
        </w:rPr>
        <w:t>2</w:t>
      </w:r>
      <w:r w:rsidRPr="009339A4">
        <w:t xml:space="preserve"> olduğu,</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r w:rsidRPr="009339A4">
        <w:t>Söz konusu 220428/3,4,5 ve 6 no</w:t>
      </w:r>
      <w:r>
        <w:t>.</w:t>
      </w:r>
      <w:r w:rsidRPr="009339A4">
        <w:t>lu ada/parseller, 220426/11 ve 14 no</w:t>
      </w:r>
      <w:r>
        <w:t>.</w:t>
      </w:r>
      <w:r w:rsidRPr="009339A4">
        <w:t>lu ada/parseller ve 220425/1 no</w:t>
      </w:r>
      <w:r>
        <w:t>.</w:t>
      </w:r>
      <w:r w:rsidRPr="009339A4">
        <w:t>lu ada/parselin, S.S. A</w:t>
      </w:r>
      <w:r w:rsidR="00716E20">
        <w:t>****</w:t>
      </w:r>
      <w:r w:rsidRPr="009339A4">
        <w:t xml:space="preserve"> S</w:t>
      </w:r>
      <w:r w:rsidR="00716E20">
        <w:t>*****</w:t>
      </w:r>
      <w:r w:rsidRPr="009339A4">
        <w:t xml:space="preserve"> T</w:t>
      </w:r>
      <w:r w:rsidR="00716E20">
        <w:t>****</w:t>
      </w:r>
      <w:r w:rsidRPr="009339A4">
        <w:t xml:space="preserve"> İşyeri Yapı Kooperatifi, 220431/8 ada/parselin ise Kahramankazan Belediye Başkanlığı ve S.S. </w:t>
      </w:r>
      <w:r w:rsidR="00113602" w:rsidRPr="009339A4">
        <w:t>A</w:t>
      </w:r>
      <w:r w:rsidR="00113602">
        <w:t>****</w:t>
      </w:r>
      <w:r w:rsidR="00113602" w:rsidRPr="009339A4">
        <w:t xml:space="preserve"> S</w:t>
      </w:r>
      <w:r w:rsidR="00113602">
        <w:t>*****</w:t>
      </w:r>
      <w:r w:rsidR="00113602" w:rsidRPr="009339A4">
        <w:t xml:space="preserve"> T</w:t>
      </w:r>
      <w:r w:rsidR="00113602">
        <w:t>****</w:t>
      </w:r>
      <w:bookmarkStart w:id="0" w:name="_GoBack"/>
      <w:bookmarkEnd w:id="0"/>
      <w:r w:rsidRPr="009339A4">
        <w:t xml:space="preserve"> İşyeri Yapı Kooperatifi mülkiyetinde olduğu,</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r w:rsidRPr="009339A4">
        <w:t>Saray Mahallesi, 220425 ada 1 no</w:t>
      </w:r>
      <w:r>
        <w:t>.</w:t>
      </w:r>
      <w:r w:rsidRPr="009339A4">
        <w:t>lu ada/parsel, 220426/11 ve 14 no</w:t>
      </w:r>
      <w:r>
        <w:t>.</w:t>
      </w:r>
      <w:r w:rsidRPr="009339A4">
        <w:t>lu ada/parseller, 220431/8 no</w:t>
      </w:r>
      <w:r>
        <w:t>.</w:t>
      </w:r>
      <w:r w:rsidRPr="009339A4">
        <w:t>lu ada/parsel ve çevresi, Kahramankazan Belediye Meclisinin 03.04.2015 tarih ve 82 sayılı Kararı ile uygun görülerek, Ankara Büyükşehir Belediye Meclisinin 14.08.2015 tarih ve 1657 sayılı Kararı ile onaylanan "Kahramankazan İlçesi, Saray Mahallesi, 3253, 3246, 3247, 3248, 3249, 3251, 3245 ada 1 no</w:t>
      </w:r>
      <w:r>
        <w:t>.</w:t>
      </w:r>
      <w:r w:rsidRPr="009339A4">
        <w:t>lu parsel, 3926 ada 4 no</w:t>
      </w:r>
      <w:r>
        <w:t>.</w:t>
      </w:r>
      <w:r w:rsidRPr="009339A4">
        <w:t>lu parsel ve park alanlarını kapsayan alana ait 1/1000 ölçekli uygulama imar planı değişikliği" kapsamında kaldığı, 220428/3,4,5,6 no</w:t>
      </w:r>
      <w:r>
        <w:t>.</w:t>
      </w:r>
      <w:r w:rsidRPr="009339A4">
        <w:t>lu ada/parsellerin Kahramankazan Belediye Meclisinin 05.08.2018 tarih ve 134 sayılı Kararı ile uygun görülen, Ankara Büyükşehir Belediye Meclisinin 24.11.2018 tarih ve 1880 sayılı Kararı ile onaylanan "Ankara İli, Kahramankazan İlçesi, Saray Mahallesi 220420 ile 220428 ada ve çevresine ait 1/1000 ölçekli uygulama imar planı değişikliği" kapsamında kaldığı,</w:t>
      </w:r>
    </w:p>
    <w:p w:rsidR="00E92169" w:rsidRDefault="00E92169" w:rsidP="00E92169">
      <w:pPr>
        <w:tabs>
          <w:tab w:val="left" w:pos="0"/>
        </w:tabs>
        <w:ind w:right="-1"/>
        <w:jc w:val="both"/>
      </w:pPr>
    </w:p>
    <w:p w:rsidR="00E92169" w:rsidRDefault="00E92169" w:rsidP="00E92169">
      <w:pPr>
        <w:tabs>
          <w:tab w:val="left" w:pos="0"/>
        </w:tabs>
        <w:ind w:right="-1" w:firstLine="709"/>
        <w:jc w:val="both"/>
      </w:pPr>
      <w:r w:rsidRPr="009339A4">
        <w:t>Mevcut imar planında, 1181m² büyüklüğünde ki 220426 ada 11 no</w:t>
      </w:r>
      <w:r>
        <w:t>.</w:t>
      </w:r>
      <w:r w:rsidRPr="009339A4">
        <w:t>lu parselin E:0.60 Yençok:3 kat yapılaşma koşullu "İdari Hizmet Alanı" kullanımında, 1750 m² büyüklüğündeki 220426 ada 14 no</w:t>
      </w:r>
      <w:r>
        <w:t>.</w:t>
      </w:r>
      <w:r w:rsidRPr="009339A4">
        <w:t>lu parselin "Teknik Alt Yapı Alanı" ku</w:t>
      </w:r>
      <w:r>
        <w:t>llanımında, 633 m² büyüklüğünde</w:t>
      </w:r>
      <w:r w:rsidRPr="009339A4">
        <w:t>ki 220431 ada 8 no</w:t>
      </w:r>
      <w:r>
        <w:t>.</w:t>
      </w:r>
      <w:r w:rsidRPr="009339A4">
        <w:t>lu parselin "Teknik Alt Yapı Alanı" kullanımında, 1816m² büyüklüğündeki 220425/1 no</w:t>
      </w:r>
      <w:r>
        <w:t>.</w:t>
      </w:r>
      <w:r w:rsidRPr="009339A4">
        <w:t>lu parselin E:0.60 Yençok:3 kat yapılaşma koşullu "Sosyal Tesis Alanı", yaklaşık 4112 m² büyüklüğünde ki 220428 ada 3, 4, 5 ve 6 no</w:t>
      </w:r>
      <w:r>
        <w:t>.</w:t>
      </w:r>
      <w:r w:rsidRPr="009339A4">
        <w:t>lu parsellerin de E:0.60 Yençok:Serbest yapılaşma koşullu “Sanayi ve Depolama Alanı” kullanımında olduğu,</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92169" w:rsidRPr="002D00A5" w:rsidTr="00740AC5">
        <w:trPr>
          <w:trHeight w:val="1008"/>
        </w:trPr>
        <w:tc>
          <w:tcPr>
            <w:tcW w:w="3510" w:type="dxa"/>
          </w:tcPr>
          <w:p w:rsidR="00E92169" w:rsidRPr="002D00A5" w:rsidRDefault="00E92169" w:rsidP="00740AC5">
            <w:pPr>
              <w:ind w:right="-1"/>
              <w:jc w:val="center"/>
            </w:pPr>
            <w:r w:rsidRPr="002D00A5">
              <w:lastRenderedPageBreak/>
              <w:t>T.C.</w:t>
            </w:r>
          </w:p>
          <w:p w:rsidR="00E92169" w:rsidRPr="002D00A5" w:rsidRDefault="00E92169" w:rsidP="00740AC5">
            <w:pPr>
              <w:ind w:right="-1"/>
              <w:jc w:val="center"/>
            </w:pPr>
            <w:r w:rsidRPr="002D00A5">
              <w:t>ANKARA BÜYÜKŞEHİR</w:t>
            </w:r>
          </w:p>
          <w:p w:rsidR="00E92169" w:rsidRPr="002D00A5" w:rsidRDefault="00E92169" w:rsidP="00740AC5">
            <w:pPr>
              <w:ind w:right="-1"/>
              <w:jc w:val="center"/>
            </w:pPr>
            <w:r w:rsidRPr="002D00A5">
              <w:t>BELEDİYE MECLİSİ</w:t>
            </w:r>
          </w:p>
        </w:tc>
      </w:tr>
    </w:tbl>
    <w:p w:rsidR="00E92169" w:rsidRDefault="00E92169" w:rsidP="00E92169">
      <w:pPr>
        <w:tabs>
          <w:tab w:val="left" w:pos="1935"/>
          <w:tab w:val="left" w:pos="9356"/>
        </w:tabs>
        <w:ind w:right="-1"/>
        <w:jc w:val="both"/>
      </w:pPr>
    </w:p>
    <w:p w:rsidR="00E92169" w:rsidRDefault="00E92169" w:rsidP="00E92169">
      <w:pPr>
        <w:ind w:right="-1"/>
        <w:jc w:val="both"/>
      </w:pPr>
      <w:r>
        <w:t>Karar No: 1510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92169" w:rsidRDefault="00E92169" w:rsidP="00E92169">
      <w:pPr>
        <w:tabs>
          <w:tab w:val="left" w:pos="0"/>
        </w:tabs>
        <w:ind w:right="-1"/>
        <w:jc w:val="center"/>
      </w:pPr>
      <w:r>
        <w:t>-2-</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r w:rsidRPr="00160EFD">
        <w:rPr>
          <w:b/>
        </w:rPr>
        <w:t>Plan Değişiklik Teklifi ve Açıklama Raporunda özetle;</w:t>
      </w:r>
      <w:r w:rsidRPr="009339A4">
        <w:t xml:space="preserve"> Plan değişiklik teklifine konu parselleri de kapsayacak şekilde kooperatif mülkiyetinde bulunan alanların; mevcut arazi dokusundaki yeşil alanlar göz önüne alınarak imar planındaki yeşil alan hiyerarşisinin sağlanması amacıyla değişikliğe gidildiği, yapılacak değişiklik ile park alanlarının geçiş noktaları düzenlenerek bir bütünlük sağlandığı, ayrıca bölgeye hizmet eden ve dağınık şekilde yer alan hizmet alanlarının daha nitelikli ve verimli hizmet etmesi amacıyla odak noktası oluşturacak şekilde bir araya getirilmesinin amaçlandığı, belirtilen nedenler ve 220428 ada 3, 4, 5 ve 6 parsel sahiplerinin talebi üzerine dağınık şekilde yer alan sanayi alanları bir araya getirildiği ve yeşil alan, hizmet alan düzenlemesinin yapıldığı, söz konusu plan değişikliği ile alan büyüklüklerinde bir değişiklik yapılmadığı,</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r w:rsidRPr="00160EFD">
        <w:rPr>
          <w:b/>
        </w:rPr>
        <w:t>1/5000 Ölçekli Nazım ve 1/1000 Ölçekli Uygulama İmar Planı Değişikliği Teklifinde,</w:t>
      </w:r>
      <w:r w:rsidRPr="009339A4">
        <w:t xml:space="preserve"> Planlamaya konu sınırlar içerisinde dağınık şekilde yer alan İdari Hizmet Alanı ve Teknik Altyapı Alanları onaylı imar planında bölgeye daha iyi hizmet verilebilmesi ve götürebilmesi adına; toplam alan büyüklüğü değişmeyecek şekilde bir araya getirilmiş ve planlama alanının güneyine 220429 adanın batısında yer alacak şekilde İdari Hizmet Alanı olarak yeniden düzenlendiği, mevcut imar planında İdari Tesis Alanı kullanım kararıyla tanımlı 1181 m² yüzölçümlü</w:t>
      </w:r>
      <w:r>
        <w:t xml:space="preserve"> 220426 ada 11 no.lu parsel ile </w:t>
      </w:r>
      <w:r w:rsidRPr="009339A4">
        <w:t>teknik altyapı kullanım kararıyla tanımlı 1750 m² büyüklüğündeki 220426 ada 14 no</w:t>
      </w:r>
      <w:r>
        <w:t>.</w:t>
      </w:r>
      <w:r w:rsidRPr="009339A4">
        <w:t>lu parsel ve teknik altyapı kullanım kararıyla tanımlı 633 m² büyüklüğündeki 220431 ada 8 no</w:t>
      </w:r>
      <w:r>
        <w:t>.</w:t>
      </w:r>
      <w:r w:rsidRPr="009339A4">
        <w:t>lu parselin konumlu olduğu alanların park alanı olarak planlandığı, park alanı olarak planlanan yaklaşık 3564m² teknik altyapı alanına karşılık 220427 adanın güneyindeki (3250 no</w:t>
      </w:r>
      <w:r>
        <w:t>.</w:t>
      </w:r>
      <w:r w:rsidRPr="009339A4">
        <w:t>lu ada kuzeyi) yaklaşık 3564 m² yüzölçümlü park alanının da E:0.60 Yençok:3 kat yapılaşma koşulları ile "İdari Hizmet Alanı" olarak ve planlama alanının kuzeyinde yer alan yaklaşık 4112 m² büyüklüğünde ki sanayi ve depolama alanı kullanımlı 220428 ada 3, 4, 5 ve 6 no</w:t>
      </w:r>
      <w:r>
        <w:t>.</w:t>
      </w:r>
      <w:r w:rsidRPr="009339A4">
        <w:t>lu parsellerin ise planlama alanının güneyinde park alanı içerisinde planlandığı,</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r w:rsidRPr="009339A4">
        <w:t>​Ankara Büyükşehir Belediye Meclisinin 14.08.2015 tarih 1657 sayılı Kararıyla onaylanan imar planında Sanayi ve Depolama Alanında kalan ve bu plan kapsamında imar uygulaması yapılarak mülkiyet tescili yapılan (220428 ada) sonrasında ise Ankara Büyükşehir Belediye Meclisinin 24.11.2018 tarih 1880 sayılı Kararıyla da park alanına dönüştürülen ancak bu plan kapsamında parselasyon planı yapılmadığından mevcut imar planında park alanında kalan 220428 ada 3, 4, 5 ve 6 no</w:t>
      </w:r>
      <w:r>
        <w:t>.</w:t>
      </w:r>
      <w:r w:rsidRPr="009339A4">
        <w:t>lu parsellerin Ankara Büyükşehir Belediye Meclisinin 24.11.2018 tarih 1880 sayılı Kararıyla onaylı imar planında taşınmasının öngörüldüğü  220422 adanın doğusundaki 2054 m² büyüklüğündeki E:0,60 Yençok:Serbest yapılaşma koşulundaki Sanayi ve Depolama Alanı ile</w:t>
      </w:r>
      <w:r>
        <w:t xml:space="preserve"> 220426 adanın batısındaki 2054</w:t>
      </w:r>
      <w:r w:rsidRPr="009339A4">
        <w:t>m²</w:t>
      </w:r>
      <w:r>
        <w:t xml:space="preserve"> </w:t>
      </w:r>
      <w:r w:rsidRPr="009339A4">
        <w:t>büyüklüğündeki E:0,60 Yençok:Serbest yapılaşma koşulundaki Sanayi ve Depolama Alanının, teklife konu imar planı değişikliği ile park alanı kullanım kararıyla  önerildiği, planlama alanının güneybatısında bulunan 4108 m² büyüklüğündeki mevcut imar planında park alanının da E:0,60 Yençok:Serbest yapılaşma koşuluyla Sanayi ve Depolama Alanı olarak düzenlendiği, ayrıca planlama alanının doğusunda, E:0,60 Yençok:3 kat yapılaşma koşullu Sosyal Tesis Alanında plan değişikliği onama sınırlarına dahil edilerek, Sosyal Tesis Alanında; sosyal yaşamın niteliğini ve düzeyini artırmak amacı ile toplumun faydalanacağı kreş, kurs, yurt, çocuk yuvası, yetiştirme yurdu, yaşlı ve engelli bakımevi, rehabilitasyon merkezi, toplum merkezi, şefkat evleri ve bölge halkın günübirlik ihtiyacını karşılayabilecek nitelikte küçük ölçekli ticaret birimlerinin yer alabilmesine yönelik 4 no</w:t>
      </w:r>
      <w:r>
        <w:t>.</w:t>
      </w:r>
      <w:r w:rsidRPr="009339A4">
        <w:t>lu plan notunun düzenlendiği,</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92169" w:rsidRPr="002D00A5" w:rsidTr="00740AC5">
        <w:trPr>
          <w:trHeight w:val="1008"/>
        </w:trPr>
        <w:tc>
          <w:tcPr>
            <w:tcW w:w="3510" w:type="dxa"/>
          </w:tcPr>
          <w:p w:rsidR="00E92169" w:rsidRPr="002D00A5" w:rsidRDefault="00E92169" w:rsidP="00740AC5">
            <w:pPr>
              <w:ind w:right="-1"/>
              <w:jc w:val="center"/>
            </w:pPr>
            <w:r w:rsidRPr="002D00A5">
              <w:lastRenderedPageBreak/>
              <w:t>T.C.</w:t>
            </w:r>
          </w:p>
          <w:p w:rsidR="00E92169" w:rsidRPr="002D00A5" w:rsidRDefault="00E92169" w:rsidP="00740AC5">
            <w:pPr>
              <w:ind w:right="-1"/>
              <w:jc w:val="center"/>
            </w:pPr>
            <w:r w:rsidRPr="002D00A5">
              <w:t>ANKARA BÜYÜKŞEHİR</w:t>
            </w:r>
          </w:p>
          <w:p w:rsidR="00E92169" w:rsidRPr="002D00A5" w:rsidRDefault="00E92169" w:rsidP="00740AC5">
            <w:pPr>
              <w:ind w:right="-1"/>
              <w:jc w:val="center"/>
            </w:pPr>
            <w:r w:rsidRPr="002D00A5">
              <w:t>BELEDİYE MECLİSİ</w:t>
            </w:r>
          </w:p>
        </w:tc>
      </w:tr>
    </w:tbl>
    <w:p w:rsidR="00E92169" w:rsidRDefault="00E92169" w:rsidP="00E92169">
      <w:pPr>
        <w:tabs>
          <w:tab w:val="left" w:pos="1935"/>
          <w:tab w:val="left" w:pos="9356"/>
        </w:tabs>
        <w:ind w:right="-1"/>
        <w:jc w:val="both"/>
      </w:pPr>
    </w:p>
    <w:p w:rsidR="00E92169" w:rsidRDefault="00E92169" w:rsidP="00E92169">
      <w:pPr>
        <w:ind w:right="-1"/>
        <w:jc w:val="both"/>
      </w:pPr>
      <w:r>
        <w:t>Karar No: 1510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92169" w:rsidRDefault="00E92169" w:rsidP="00E92169">
      <w:pPr>
        <w:tabs>
          <w:tab w:val="left" w:pos="0"/>
        </w:tabs>
        <w:ind w:right="-1"/>
        <w:jc w:val="center"/>
      </w:pPr>
    </w:p>
    <w:p w:rsidR="00E92169" w:rsidRDefault="00E92169" w:rsidP="00E92169">
      <w:pPr>
        <w:tabs>
          <w:tab w:val="left" w:pos="0"/>
        </w:tabs>
        <w:ind w:right="-1"/>
        <w:jc w:val="center"/>
      </w:pPr>
      <w:r>
        <w:t>-3-</w:t>
      </w:r>
    </w:p>
    <w:p w:rsidR="00E92169" w:rsidRDefault="00E92169" w:rsidP="00E92169">
      <w:pPr>
        <w:tabs>
          <w:tab w:val="left" w:pos="0"/>
        </w:tabs>
        <w:ind w:right="-1"/>
        <w:jc w:val="both"/>
      </w:pP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r w:rsidRPr="009339A4">
        <w:t>1-Sanayi Ve Depolama Alanlarında E:0,60 Yençok:Serbesttir.</w:t>
      </w:r>
    </w:p>
    <w:p w:rsidR="00E92169" w:rsidRDefault="00E92169" w:rsidP="00E92169">
      <w:pPr>
        <w:tabs>
          <w:tab w:val="left" w:pos="0"/>
        </w:tabs>
        <w:ind w:right="-1" w:firstLine="709"/>
        <w:jc w:val="both"/>
      </w:pPr>
      <w:r w:rsidRPr="009339A4">
        <w:t xml:space="preserve">2-Sanayi Ve Depolama Alanlarında Minimum Parsel (İfraz) Büyüklüğü 1000 </w:t>
      </w:r>
      <w:r>
        <w:t>m²’d</w:t>
      </w:r>
      <w:r w:rsidRPr="009339A4">
        <w:t>ir.</w:t>
      </w:r>
    </w:p>
    <w:p w:rsidR="00E92169" w:rsidRDefault="00E92169" w:rsidP="00E92169">
      <w:pPr>
        <w:tabs>
          <w:tab w:val="left" w:pos="0"/>
        </w:tabs>
        <w:ind w:right="-1" w:firstLine="709"/>
        <w:jc w:val="both"/>
      </w:pPr>
      <w:r w:rsidRPr="009339A4">
        <w:t>3-Sosyal Tesis Alanında E:0,60 Yençok:3kattır.</w:t>
      </w:r>
    </w:p>
    <w:p w:rsidR="00E92169" w:rsidRDefault="00E92169" w:rsidP="00E92169">
      <w:pPr>
        <w:tabs>
          <w:tab w:val="left" w:pos="0"/>
        </w:tabs>
        <w:ind w:right="-1" w:firstLine="709"/>
        <w:jc w:val="both"/>
      </w:pPr>
      <w:r w:rsidRPr="009339A4">
        <w:t>4-Sosyal Tesis Alanında; Sosyal Yaşamın Niteliğini Ve Düzeyini Artırmak Amacı İle Toplumun Faydalanacağı Kreş, Kurs, Yurt, Çocuk Yuvası, Yetiştirme Yurdu, Yaşlı Ve Engelli Bakımevi, Rehabilitasyon Merkezi, Toplum Merkezi, Şefkat Evleri Ve Bölge Halkın Günübirlik İhtiyacını Karşılayabilecek Nitelikte Küçük Ölçekli Ticaret Birimleri Yer Alabilir.</w:t>
      </w:r>
    </w:p>
    <w:p w:rsidR="00E92169" w:rsidRDefault="00E92169" w:rsidP="00E92169">
      <w:pPr>
        <w:tabs>
          <w:tab w:val="left" w:pos="0"/>
        </w:tabs>
        <w:ind w:right="-1" w:firstLine="709"/>
        <w:jc w:val="both"/>
      </w:pPr>
      <w:r w:rsidRPr="009339A4">
        <w:t>5-İdari Hizmet Alanında E:0,60 Yençok:3kattır.</w:t>
      </w:r>
    </w:p>
    <w:p w:rsidR="00E92169" w:rsidRDefault="00E92169" w:rsidP="00E92169">
      <w:pPr>
        <w:tabs>
          <w:tab w:val="left" w:pos="0"/>
        </w:tabs>
        <w:ind w:right="-1" w:firstLine="709"/>
        <w:jc w:val="both"/>
      </w:pPr>
      <w:r w:rsidRPr="009339A4">
        <w:t>6-İdari Hizmet Alanında; Bölgenin Görev Ve Sorumlulukları Kapsamındaki Hizmetlerin Götürülebilmesi İçin Gerekli Olan Kamu Ve Özel Teşebbüse Ait Yönetim Binaları Yer Alabilir.</w:t>
      </w:r>
    </w:p>
    <w:p w:rsidR="00E92169" w:rsidRDefault="00E92169" w:rsidP="00E92169">
      <w:pPr>
        <w:tabs>
          <w:tab w:val="left" w:pos="0"/>
        </w:tabs>
        <w:ind w:right="-1" w:firstLine="709"/>
        <w:jc w:val="both"/>
      </w:pPr>
      <w:r w:rsidRPr="009339A4">
        <w:t>7-Planda Belirtilmeyen Hususta Kazan Belediye Meclisinin 09.05.2008 Tarih Ve 104 Sayılı Kararıyla Uygun Görülüp, Büyükşehir Belediye Meclisinin 14.05.2010 Gün Ve 1530 Sayılı Kararı İle Onaylanan Saray Ve Dağyaka Mahallelerine Ait Uygulama İmar Planı Notları Geçerlidir. Şeklinde 7 adet plan notu düzenlendiği,</w:t>
      </w:r>
    </w:p>
    <w:p w:rsidR="00E92169" w:rsidRDefault="00E92169" w:rsidP="00E92169">
      <w:pPr>
        <w:tabs>
          <w:tab w:val="left" w:pos="0"/>
        </w:tabs>
        <w:ind w:right="-1" w:firstLine="709"/>
        <w:jc w:val="both"/>
      </w:pPr>
    </w:p>
    <w:p w:rsidR="00E92169" w:rsidRDefault="00E92169" w:rsidP="00E92169">
      <w:pPr>
        <w:tabs>
          <w:tab w:val="left" w:pos="0"/>
        </w:tabs>
        <w:ind w:right="-1" w:firstLine="709"/>
        <w:jc w:val="both"/>
      </w:pPr>
      <w:r w:rsidRPr="009339A4">
        <w:t>Plan değişiklik teklifine konu alana ilişkin altyapı hizmeti veren kurum/kuruluşlardan Başkent Elektrik A.Ş., ASKİ Genel Müdürlüğü ve Başkent Doğalgaz Dağıtım Gayrimenkul Yatırım Ortaklığı A.Ş.'nin görüşlerinin alındığı, Plan değişiklik teklifi alan dağılım tablosunun;</w:t>
      </w:r>
    </w:p>
    <w:p w:rsidR="00E92169" w:rsidRDefault="00E92169" w:rsidP="00E92169">
      <w:pPr>
        <w:tabs>
          <w:tab w:val="left" w:pos="0"/>
        </w:tabs>
        <w:ind w:right="-1" w:firstLine="709"/>
        <w:jc w:val="both"/>
      </w:pPr>
    </w:p>
    <w:tbl>
      <w:tblPr>
        <w:tblStyle w:val="TabloKlavuzu"/>
        <w:tblW w:w="0" w:type="auto"/>
        <w:tblLook w:val="04A0" w:firstRow="1" w:lastRow="0" w:firstColumn="1" w:lastColumn="0" w:noHBand="0" w:noVBand="1"/>
      </w:tblPr>
      <w:tblGrid>
        <w:gridCol w:w="2988"/>
        <w:gridCol w:w="2988"/>
        <w:gridCol w:w="2988"/>
      </w:tblGrid>
      <w:tr w:rsidR="00E92169" w:rsidTr="00740AC5">
        <w:trPr>
          <w:trHeight w:val="359"/>
        </w:trPr>
        <w:tc>
          <w:tcPr>
            <w:tcW w:w="2988" w:type="dxa"/>
            <w:vMerge w:val="restart"/>
            <w:vAlign w:val="center"/>
          </w:tcPr>
          <w:p w:rsidR="00E92169" w:rsidRPr="00160EFD" w:rsidRDefault="00E92169" w:rsidP="00740AC5">
            <w:pPr>
              <w:tabs>
                <w:tab w:val="left" w:pos="0"/>
              </w:tabs>
              <w:ind w:right="-1"/>
              <w:jc w:val="center"/>
              <w:rPr>
                <w:b/>
                <w:sz w:val="22"/>
                <w:szCs w:val="22"/>
              </w:rPr>
            </w:pPr>
            <w:r w:rsidRPr="00160EFD">
              <w:rPr>
                <w:b/>
                <w:sz w:val="22"/>
                <w:szCs w:val="22"/>
              </w:rPr>
              <w:t>Alan Kullanım Adı</w:t>
            </w:r>
          </w:p>
        </w:tc>
        <w:tc>
          <w:tcPr>
            <w:tcW w:w="2988" w:type="dxa"/>
            <w:vAlign w:val="center"/>
          </w:tcPr>
          <w:p w:rsidR="00E92169" w:rsidRPr="00160EFD" w:rsidRDefault="00E92169" w:rsidP="00740AC5">
            <w:pPr>
              <w:tabs>
                <w:tab w:val="left" w:pos="0"/>
              </w:tabs>
              <w:ind w:right="-1"/>
              <w:jc w:val="center"/>
              <w:rPr>
                <w:b/>
                <w:sz w:val="22"/>
                <w:szCs w:val="22"/>
              </w:rPr>
            </w:pPr>
            <w:r w:rsidRPr="00160EFD">
              <w:rPr>
                <w:b/>
                <w:sz w:val="22"/>
                <w:szCs w:val="22"/>
              </w:rPr>
              <w:t>Onaylı İmar</w:t>
            </w:r>
          </w:p>
        </w:tc>
        <w:tc>
          <w:tcPr>
            <w:tcW w:w="2988" w:type="dxa"/>
            <w:vAlign w:val="center"/>
          </w:tcPr>
          <w:p w:rsidR="00E92169" w:rsidRPr="00160EFD" w:rsidRDefault="00E92169" w:rsidP="00740AC5">
            <w:pPr>
              <w:tabs>
                <w:tab w:val="left" w:pos="0"/>
              </w:tabs>
              <w:ind w:right="-1"/>
              <w:jc w:val="center"/>
              <w:rPr>
                <w:b/>
                <w:sz w:val="22"/>
                <w:szCs w:val="22"/>
              </w:rPr>
            </w:pPr>
            <w:r w:rsidRPr="00160EFD">
              <w:rPr>
                <w:b/>
                <w:sz w:val="22"/>
                <w:szCs w:val="22"/>
              </w:rPr>
              <w:t>Öneri İmar</w:t>
            </w:r>
          </w:p>
        </w:tc>
      </w:tr>
      <w:tr w:rsidR="00E92169" w:rsidTr="00740AC5">
        <w:trPr>
          <w:trHeight w:val="359"/>
        </w:trPr>
        <w:tc>
          <w:tcPr>
            <w:tcW w:w="2988" w:type="dxa"/>
            <w:vMerge/>
            <w:vAlign w:val="center"/>
          </w:tcPr>
          <w:p w:rsidR="00E92169" w:rsidRPr="00160EFD" w:rsidRDefault="00E92169" w:rsidP="00740AC5">
            <w:pPr>
              <w:tabs>
                <w:tab w:val="left" w:pos="0"/>
              </w:tabs>
              <w:ind w:right="-1"/>
              <w:jc w:val="center"/>
              <w:rPr>
                <w:b/>
                <w:sz w:val="22"/>
                <w:szCs w:val="22"/>
              </w:rPr>
            </w:pPr>
          </w:p>
        </w:tc>
        <w:tc>
          <w:tcPr>
            <w:tcW w:w="2988" w:type="dxa"/>
            <w:vAlign w:val="center"/>
          </w:tcPr>
          <w:p w:rsidR="00E92169" w:rsidRPr="00160EFD" w:rsidRDefault="00E92169" w:rsidP="00740AC5">
            <w:pPr>
              <w:tabs>
                <w:tab w:val="left" w:pos="0"/>
              </w:tabs>
              <w:ind w:right="-1"/>
              <w:jc w:val="center"/>
              <w:rPr>
                <w:b/>
                <w:sz w:val="22"/>
                <w:szCs w:val="22"/>
              </w:rPr>
            </w:pPr>
            <w:r w:rsidRPr="00160EFD">
              <w:rPr>
                <w:b/>
                <w:sz w:val="22"/>
                <w:szCs w:val="22"/>
              </w:rPr>
              <w:t>Alan Büyüklüğü (m²)</w:t>
            </w:r>
          </w:p>
        </w:tc>
        <w:tc>
          <w:tcPr>
            <w:tcW w:w="2988" w:type="dxa"/>
            <w:vAlign w:val="center"/>
          </w:tcPr>
          <w:p w:rsidR="00E92169" w:rsidRPr="00160EFD" w:rsidRDefault="00E92169" w:rsidP="00740AC5">
            <w:pPr>
              <w:tabs>
                <w:tab w:val="left" w:pos="0"/>
              </w:tabs>
              <w:ind w:right="-1"/>
              <w:jc w:val="center"/>
              <w:rPr>
                <w:b/>
                <w:sz w:val="22"/>
                <w:szCs w:val="22"/>
              </w:rPr>
            </w:pPr>
            <w:r w:rsidRPr="00160EFD">
              <w:rPr>
                <w:b/>
                <w:sz w:val="22"/>
                <w:szCs w:val="22"/>
              </w:rPr>
              <w:t>Alan Büyüklüğü (m²)</w:t>
            </w:r>
          </w:p>
        </w:tc>
      </w:tr>
      <w:tr w:rsidR="00E92169" w:rsidTr="00740AC5">
        <w:trPr>
          <w:trHeight w:val="359"/>
        </w:trPr>
        <w:tc>
          <w:tcPr>
            <w:tcW w:w="2988" w:type="dxa"/>
            <w:vAlign w:val="center"/>
          </w:tcPr>
          <w:p w:rsidR="00E92169" w:rsidRPr="00160EFD" w:rsidRDefault="00E92169" w:rsidP="00740AC5">
            <w:pPr>
              <w:tabs>
                <w:tab w:val="left" w:pos="0"/>
              </w:tabs>
              <w:ind w:right="-1"/>
              <w:jc w:val="center"/>
              <w:rPr>
                <w:sz w:val="22"/>
                <w:szCs w:val="22"/>
              </w:rPr>
            </w:pPr>
            <w:r w:rsidRPr="00160EFD">
              <w:rPr>
                <w:sz w:val="22"/>
                <w:szCs w:val="22"/>
              </w:rPr>
              <w:t>Sanayi ve Depolama Alanı</w:t>
            </w:r>
          </w:p>
        </w:tc>
        <w:tc>
          <w:tcPr>
            <w:tcW w:w="2988" w:type="dxa"/>
            <w:vAlign w:val="center"/>
          </w:tcPr>
          <w:p w:rsidR="00E92169" w:rsidRPr="00160EFD" w:rsidRDefault="00E92169" w:rsidP="00740AC5">
            <w:pPr>
              <w:jc w:val="center"/>
              <w:rPr>
                <w:sz w:val="22"/>
                <w:szCs w:val="22"/>
              </w:rPr>
            </w:pPr>
            <w:r w:rsidRPr="00160EFD">
              <w:rPr>
                <w:sz w:val="22"/>
                <w:szCs w:val="22"/>
              </w:rPr>
              <w:t>4.108</w:t>
            </w:r>
          </w:p>
        </w:tc>
        <w:tc>
          <w:tcPr>
            <w:tcW w:w="2988" w:type="dxa"/>
            <w:vAlign w:val="center"/>
          </w:tcPr>
          <w:p w:rsidR="00E92169" w:rsidRPr="00160EFD" w:rsidRDefault="00E92169" w:rsidP="00740AC5">
            <w:pPr>
              <w:jc w:val="center"/>
              <w:rPr>
                <w:sz w:val="22"/>
                <w:szCs w:val="22"/>
              </w:rPr>
            </w:pPr>
            <w:r w:rsidRPr="00160EFD">
              <w:rPr>
                <w:sz w:val="22"/>
                <w:szCs w:val="22"/>
              </w:rPr>
              <w:t>4108</w:t>
            </w:r>
          </w:p>
        </w:tc>
      </w:tr>
      <w:tr w:rsidR="00E92169" w:rsidTr="00740AC5">
        <w:trPr>
          <w:trHeight w:val="359"/>
        </w:trPr>
        <w:tc>
          <w:tcPr>
            <w:tcW w:w="2988" w:type="dxa"/>
            <w:vAlign w:val="center"/>
          </w:tcPr>
          <w:p w:rsidR="00E92169" w:rsidRPr="00160EFD" w:rsidRDefault="00E92169" w:rsidP="00740AC5">
            <w:pPr>
              <w:tabs>
                <w:tab w:val="left" w:pos="0"/>
              </w:tabs>
              <w:ind w:right="-1"/>
              <w:jc w:val="center"/>
              <w:rPr>
                <w:sz w:val="22"/>
                <w:szCs w:val="22"/>
              </w:rPr>
            </w:pPr>
            <w:r w:rsidRPr="00160EFD">
              <w:rPr>
                <w:sz w:val="22"/>
                <w:szCs w:val="22"/>
              </w:rPr>
              <w:t>İdari Hizmet Alanı</w:t>
            </w:r>
          </w:p>
        </w:tc>
        <w:tc>
          <w:tcPr>
            <w:tcW w:w="2988" w:type="dxa"/>
            <w:vAlign w:val="center"/>
          </w:tcPr>
          <w:p w:rsidR="00E92169" w:rsidRPr="00160EFD" w:rsidRDefault="00E92169" w:rsidP="00740AC5">
            <w:pPr>
              <w:jc w:val="center"/>
              <w:rPr>
                <w:sz w:val="22"/>
                <w:szCs w:val="22"/>
              </w:rPr>
            </w:pPr>
            <w:r w:rsidRPr="00160EFD">
              <w:rPr>
                <w:sz w:val="22"/>
                <w:szCs w:val="22"/>
              </w:rPr>
              <w:t>1.181</w:t>
            </w:r>
          </w:p>
        </w:tc>
        <w:tc>
          <w:tcPr>
            <w:tcW w:w="2988" w:type="dxa"/>
            <w:vAlign w:val="center"/>
          </w:tcPr>
          <w:p w:rsidR="00E92169" w:rsidRPr="00160EFD" w:rsidRDefault="00E92169" w:rsidP="00740AC5">
            <w:pPr>
              <w:jc w:val="center"/>
              <w:rPr>
                <w:sz w:val="22"/>
                <w:szCs w:val="22"/>
              </w:rPr>
            </w:pPr>
            <w:r w:rsidRPr="00160EFD">
              <w:rPr>
                <w:sz w:val="22"/>
                <w:szCs w:val="22"/>
              </w:rPr>
              <w:t>3.564</w:t>
            </w:r>
          </w:p>
        </w:tc>
      </w:tr>
      <w:tr w:rsidR="00E92169" w:rsidTr="00740AC5">
        <w:trPr>
          <w:trHeight w:val="359"/>
        </w:trPr>
        <w:tc>
          <w:tcPr>
            <w:tcW w:w="2988" w:type="dxa"/>
            <w:vAlign w:val="center"/>
          </w:tcPr>
          <w:p w:rsidR="00E92169" w:rsidRPr="00160EFD" w:rsidRDefault="00E92169" w:rsidP="00740AC5">
            <w:pPr>
              <w:tabs>
                <w:tab w:val="left" w:pos="0"/>
              </w:tabs>
              <w:ind w:right="-1"/>
              <w:jc w:val="center"/>
              <w:rPr>
                <w:sz w:val="22"/>
                <w:szCs w:val="22"/>
              </w:rPr>
            </w:pPr>
            <w:r w:rsidRPr="00160EFD">
              <w:rPr>
                <w:sz w:val="22"/>
                <w:szCs w:val="22"/>
              </w:rPr>
              <w:t>Teknik Altyapı Alanı</w:t>
            </w:r>
          </w:p>
        </w:tc>
        <w:tc>
          <w:tcPr>
            <w:tcW w:w="2988" w:type="dxa"/>
            <w:vAlign w:val="center"/>
          </w:tcPr>
          <w:p w:rsidR="00E92169" w:rsidRPr="00160EFD" w:rsidRDefault="00E92169" w:rsidP="00740AC5">
            <w:pPr>
              <w:jc w:val="center"/>
              <w:rPr>
                <w:sz w:val="22"/>
                <w:szCs w:val="22"/>
              </w:rPr>
            </w:pPr>
            <w:r w:rsidRPr="00160EFD">
              <w:rPr>
                <w:sz w:val="22"/>
                <w:szCs w:val="22"/>
              </w:rPr>
              <w:t>2.383</w:t>
            </w:r>
          </w:p>
        </w:tc>
        <w:tc>
          <w:tcPr>
            <w:tcW w:w="2988" w:type="dxa"/>
            <w:vAlign w:val="center"/>
          </w:tcPr>
          <w:p w:rsidR="00E92169" w:rsidRPr="00160EFD" w:rsidRDefault="00E92169" w:rsidP="00740AC5">
            <w:pPr>
              <w:jc w:val="center"/>
              <w:rPr>
                <w:sz w:val="22"/>
                <w:szCs w:val="22"/>
              </w:rPr>
            </w:pPr>
            <w:r w:rsidRPr="00160EFD">
              <w:rPr>
                <w:sz w:val="22"/>
                <w:szCs w:val="22"/>
              </w:rPr>
              <w:t>-</w:t>
            </w:r>
          </w:p>
        </w:tc>
      </w:tr>
      <w:tr w:rsidR="00E92169" w:rsidTr="00740AC5">
        <w:trPr>
          <w:trHeight w:val="359"/>
        </w:trPr>
        <w:tc>
          <w:tcPr>
            <w:tcW w:w="2988" w:type="dxa"/>
            <w:vAlign w:val="center"/>
          </w:tcPr>
          <w:p w:rsidR="00E92169" w:rsidRPr="00160EFD" w:rsidRDefault="00E92169" w:rsidP="00740AC5">
            <w:pPr>
              <w:tabs>
                <w:tab w:val="left" w:pos="0"/>
              </w:tabs>
              <w:ind w:right="-1"/>
              <w:jc w:val="center"/>
              <w:rPr>
                <w:sz w:val="22"/>
                <w:szCs w:val="22"/>
              </w:rPr>
            </w:pPr>
            <w:r w:rsidRPr="00160EFD">
              <w:rPr>
                <w:sz w:val="22"/>
                <w:szCs w:val="22"/>
              </w:rPr>
              <w:t>Sosyal Tesis Alanı</w:t>
            </w:r>
          </w:p>
        </w:tc>
        <w:tc>
          <w:tcPr>
            <w:tcW w:w="2988" w:type="dxa"/>
            <w:vAlign w:val="center"/>
          </w:tcPr>
          <w:p w:rsidR="00E92169" w:rsidRPr="00160EFD" w:rsidRDefault="00E92169" w:rsidP="00740AC5">
            <w:pPr>
              <w:jc w:val="center"/>
              <w:rPr>
                <w:sz w:val="22"/>
                <w:szCs w:val="22"/>
              </w:rPr>
            </w:pPr>
            <w:r w:rsidRPr="00160EFD">
              <w:rPr>
                <w:sz w:val="22"/>
                <w:szCs w:val="22"/>
              </w:rPr>
              <w:t>1.816</w:t>
            </w:r>
          </w:p>
        </w:tc>
        <w:tc>
          <w:tcPr>
            <w:tcW w:w="2988" w:type="dxa"/>
            <w:vAlign w:val="center"/>
          </w:tcPr>
          <w:p w:rsidR="00E92169" w:rsidRPr="00160EFD" w:rsidRDefault="00E92169" w:rsidP="00740AC5">
            <w:pPr>
              <w:jc w:val="center"/>
              <w:rPr>
                <w:sz w:val="22"/>
                <w:szCs w:val="22"/>
              </w:rPr>
            </w:pPr>
            <w:r w:rsidRPr="00160EFD">
              <w:rPr>
                <w:sz w:val="22"/>
                <w:szCs w:val="22"/>
              </w:rPr>
              <w:t>1.816</w:t>
            </w:r>
          </w:p>
        </w:tc>
      </w:tr>
      <w:tr w:rsidR="00E92169" w:rsidTr="00740AC5">
        <w:trPr>
          <w:trHeight w:val="359"/>
        </w:trPr>
        <w:tc>
          <w:tcPr>
            <w:tcW w:w="2988" w:type="dxa"/>
            <w:vAlign w:val="center"/>
          </w:tcPr>
          <w:p w:rsidR="00E92169" w:rsidRPr="00160EFD" w:rsidRDefault="00E92169" w:rsidP="00740AC5">
            <w:pPr>
              <w:tabs>
                <w:tab w:val="left" w:pos="0"/>
              </w:tabs>
              <w:ind w:right="-1"/>
              <w:jc w:val="center"/>
              <w:rPr>
                <w:sz w:val="22"/>
                <w:szCs w:val="22"/>
              </w:rPr>
            </w:pPr>
            <w:r w:rsidRPr="00160EFD">
              <w:rPr>
                <w:sz w:val="22"/>
                <w:szCs w:val="22"/>
              </w:rPr>
              <w:t>Park Alanı</w:t>
            </w:r>
          </w:p>
        </w:tc>
        <w:tc>
          <w:tcPr>
            <w:tcW w:w="2988" w:type="dxa"/>
            <w:vAlign w:val="center"/>
          </w:tcPr>
          <w:p w:rsidR="00E92169" w:rsidRPr="00160EFD" w:rsidRDefault="00E92169" w:rsidP="00740AC5">
            <w:pPr>
              <w:jc w:val="center"/>
              <w:rPr>
                <w:sz w:val="22"/>
                <w:szCs w:val="22"/>
              </w:rPr>
            </w:pPr>
            <w:r w:rsidRPr="00160EFD">
              <w:rPr>
                <w:sz w:val="22"/>
                <w:szCs w:val="22"/>
              </w:rPr>
              <w:t>92.259</w:t>
            </w:r>
          </w:p>
        </w:tc>
        <w:tc>
          <w:tcPr>
            <w:tcW w:w="2988" w:type="dxa"/>
            <w:vAlign w:val="center"/>
          </w:tcPr>
          <w:p w:rsidR="00E92169" w:rsidRPr="00160EFD" w:rsidRDefault="00E92169" w:rsidP="00740AC5">
            <w:pPr>
              <w:jc w:val="center"/>
              <w:rPr>
                <w:sz w:val="22"/>
                <w:szCs w:val="22"/>
              </w:rPr>
            </w:pPr>
            <w:r w:rsidRPr="00160EFD">
              <w:rPr>
                <w:sz w:val="22"/>
                <w:szCs w:val="22"/>
              </w:rPr>
              <w:t>92.259</w:t>
            </w:r>
          </w:p>
        </w:tc>
      </w:tr>
      <w:tr w:rsidR="00E92169" w:rsidTr="00740AC5">
        <w:trPr>
          <w:trHeight w:val="359"/>
        </w:trPr>
        <w:tc>
          <w:tcPr>
            <w:tcW w:w="2988" w:type="dxa"/>
            <w:vAlign w:val="center"/>
          </w:tcPr>
          <w:p w:rsidR="00E92169" w:rsidRPr="00160EFD" w:rsidRDefault="00E92169" w:rsidP="00740AC5">
            <w:pPr>
              <w:tabs>
                <w:tab w:val="left" w:pos="0"/>
              </w:tabs>
              <w:ind w:right="-1"/>
              <w:jc w:val="center"/>
              <w:rPr>
                <w:sz w:val="22"/>
                <w:szCs w:val="22"/>
              </w:rPr>
            </w:pPr>
            <w:r w:rsidRPr="00160EFD">
              <w:rPr>
                <w:sz w:val="22"/>
                <w:szCs w:val="22"/>
              </w:rPr>
              <w:t>Yol</w:t>
            </w:r>
          </w:p>
        </w:tc>
        <w:tc>
          <w:tcPr>
            <w:tcW w:w="2988" w:type="dxa"/>
            <w:vAlign w:val="center"/>
          </w:tcPr>
          <w:p w:rsidR="00E92169" w:rsidRPr="00160EFD" w:rsidRDefault="00E92169" w:rsidP="00740AC5">
            <w:pPr>
              <w:tabs>
                <w:tab w:val="left" w:pos="0"/>
              </w:tabs>
              <w:ind w:right="-1"/>
              <w:jc w:val="center"/>
              <w:rPr>
                <w:sz w:val="22"/>
                <w:szCs w:val="22"/>
              </w:rPr>
            </w:pPr>
            <w:r w:rsidRPr="00160EFD">
              <w:rPr>
                <w:sz w:val="22"/>
                <w:szCs w:val="22"/>
              </w:rPr>
              <w:t>107</w:t>
            </w:r>
          </w:p>
        </w:tc>
        <w:tc>
          <w:tcPr>
            <w:tcW w:w="2988" w:type="dxa"/>
            <w:vAlign w:val="center"/>
          </w:tcPr>
          <w:p w:rsidR="00E92169" w:rsidRPr="00160EFD" w:rsidRDefault="00E92169" w:rsidP="00740AC5">
            <w:pPr>
              <w:tabs>
                <w:tab w:val="left" w:pos="0"/>
              </w:tabs>
              <w:ind w:right="-1"/>
              <w:jc w:val="center"/>
              <w:rPr>
                <w:sz w:val="22"/>
                <w:szCs w:val="22"/>
              </w:rPr>
            </w:pPr>
            <w:r w:rsidRPr="00160EFD">
              <w:rPr>
                <w:sz w:val="22"/>
                <w:szCs w:val="22"/>
              </w:rPr>
              <w:t>107</w:t>
            </w:r>
          </w:p>
        </w:tc>
      </w:tr>
      <w:tr w:rsidR="00E92169" w:rsidTr="00740AC5">
        <w:trPr>
          <w:trHeight w:val="359"/>
        </w:trPr>
        <w:tc>
          <w:tcPr>
            <w:tcW w:w="2988" w:type="dxa"/>
            <w:vAlign w:val="center"/>
          </w:tcPr>
          <w:p w:rsidR="00E92169" w:rsidRPr="00160EFD" w:rsidRDefault="00E92169" w:rsidP="00740AC5">
            <w:pPr>
              <w:tabs>
                <w:tab w:val="left" w:pos="0"/>
              </w:tabs>
              <w:ind w:right="-1"/>
              <w:jc w:val="center"/>
              <w:rPr>
                <w:b/>
                <w:sz w:val="22"/>
                <w:szCs w:val="22"/>
              </w:rPr>
            </w:pPr>
            <w:r w:rsidRPr="00160EFD">
              <w:rPr>
                <w:b/>
                <w:sz w:val="22"/>
                <w:szCs w:val="22"/>
              </w:rPr>
              <w:t>TOPLAM</w:t>
            </w:r>
          </w:p>
        </w:tc>
        <w:tc>
          <w:tcPr>
            <w:tcW w:w="2988" w:type="dxa"/>
            <w:vAlign w:val="center"/>
          </w:tcPr>
          <w:p w:rsidR="00E92169" w:rsidRPr="00160EFD" w:rsidRDefault="00E92169" w:rsidP="00740AC5">
            <w:pPr>
              <w:jc w:val="center"/>
              <w:rPr>
                <w:b/>
                <w:sz w:val="22"/>
                <w:szCs w:val="22"/>
              </w:rPr>
            </w:pPr>
            <w:r w:rsidRPr="00160EFD">
              <w:rPr>
                <w:b/>
                <w:sz w:val="22"/>
                <w:szCs w:val="22"/>
              </w:rPr>
              <w:t>101.854</w:t>
            </w:r>
          </w:p>
        </w:tc>
        <w:tc>
          <w:tcPr>
            <w:tcW w:w="2988" w:type="dxa"/>
            <w:vAlign w:val="center"/>
          </w:tcPr>
          <w:p w:rsidR="00E92169" w:rsidRPr="00160EFD" w:rsidRDefault="00E92169" w:rsidP="00740AC5">
            <w:pPr>
              <w:jc w:val="center"/>
              <w:rPr>
                <w:b/>
                <w:sz w:val="22"/>
                <w:szCs w:val="22"/>
              </w:rPr>
            </w:pPr>
            <w:r w:rsidRPr="00160EFD">
              <w:rPr>
                <w:b/>
                <w:sz w:val="22"/>
                <w:szCs w:val="22"/>
              </w:rPr>
              <w:t>101.854</w:t>
            </w:r>
          </w:p>
        </w:tc>
      </w:tr>
    </w:tbl>
    <w:p w:rsidR="00E92169" w:rsidRDefault="00E92169" w:rsidP="00E92169">
      <w:pPr>
        <w:tabs>
          <w:tab w:val="left" w:pos="0"/>
        </w:tabs>
        <w:ind w:right="-1" w:firstLine="709"/>
        <w:jc w:val="both"/>
      </w:pPr>
    </w:p>
    <w:p w:rsidR="00E92169" w:rsidRDefault="00E92169" w:rsidP="00E92169">
      <w:pPr>
        <w:ind w:firstLine="708"/>
        <w:jc w:val="both"/>
      </w:pPr>
      <w:r w:rsidRPr="009339A4">
        <w:t>Şeklinde olduğu, imar planı değişiklik teklifine yönelik altyapı kuruluşlarından görüş alındığı, bu kapsamda;</w:t>
      </w:r>
    </w:p>
    <w:p w:rsidR="00E92169" w:rsidRDefault="00E92169" w:rsidP="00E92169">
      <w:pPr>
        <w:jc w:val="both"/>
      </w:pPr>
    </w:p>
    <w:p w:rsidR="00E92169" w:rsidRDefault="00E92169" w:rsidP="00E92169">
      <w:pPr>
        <w:ind w:firstLine="709"/>
        <w:jc w:val="both"/>
      </w:pPr>
      <w:r w:rsidRPr="00160EFD">
        <w:rPr>
          <w:u w:val="single"/>
        </w:rPr>
        <w:t>Başkent Elektrik A.Ş.'nin 30.06.2025 tarih ve 691194 sayılı kurum görüş yazısında özetle;</w:t>
      </w:r>
      <w:r w:rsidRPr="009339A4">
        <w:t xml:space="preserve"> görüş talep edilen bölgedeki alt yapı ve üstyapı tesislerine ait güzergâh bilgileri coğrafi bilgileri sistemleri üzerinden alınarak yazıları ekinde gönderildiği belirtilerek söz konusu yazıda ayrıca  "...Söz konusu verilerin içerisinde güncellenmemiş veya sehven unutulmuş tesis bilgileri bulunabilmektedir. İlgi yazınıza konu olan bölgede 2023 yılı için bir yatırım planımız bulunmamakla birlikte, söz konusu parsele yakın durumda bulunan mevcut elektrik dağıtım şebekelerimiz bulunmaktadır.</w:t>
      </w:r>
    </w:p>
    <w:p w:rsidR="00E92169" w:rsidRDefault="00E92169" w:rsidP="00E92169">
      <w:pPr>
        <w:ind w:firstLine="709"/>
        <w:jc w:val="both"/>
      </w:pPr>
    </w:p>
    <w:p w:rsidR="00E92169" w:rsidRDefault="00E92169" w:rsidP="00E92169">
      <w:pPr>
        <w:ind w:firstLine="709"/>
        <w:jc w:val="both"/>
      </w:pPr>
    </w:p>
    <w:p w:rsidR="00E92169" w:rsidRDefault="00E92169" w:rsidP="00E9216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92169" w:rsidRPr="002D00A5" w:rsidTr="00740AC5">
        <w:trPr>
          <w:trHeight w:val="1008"/>
        </w:trPr>
        <w:tc>
          <w:tcPr>
            <w:tcW w:w="3510" w:type="dxa"/>
          </w:tcPr>
          <w:p w:rsidR="00E92169" w:rsidRPr="002D00A5" w:rsidRDefault="00E92169" w:rsidP="00740AC5">
            <w:pPr>
              <w:ind w:right="-1"/>
              <w:jc w:val="center"/>
            </w:pPr>
            <w:r w:rsidRPr="002D00A5">
              <w:lastRenderedPageBreak/>
              <w:t>T.C.</w:t>
            </w:r>
          </w:p>
          <w:p w:rsidR="00E92169" w:rsidRPr="002D00A5" w:rsidRDefault="00E92169" w:rsidP="00740AC5">
            <w:pPr>
              <w:ind w:right="-1"/>
              <w:jc w:val="center"/>
            </w:pPr>
            <w:r w:rsidRPr="002D00A5">
              <w:t>ANKARA BÜYÜKŞEHİR</w:t>
            </w:r>
          </w:p>
          <w:p w:rsidR="00E92169" w:rsidRPr="002D00A5" w:rsidRDefault="00E92169" w:rsidP="00740AC5">
            <w:pPr>
              <w:ind w:right="-1"/>
              <w:jc w:val="center"/>
            </w:pPr>
            <w:r w:rsidRPr="002D00A5">
              <w:t>BELEDİYE MECLİSİ</w:t>
            </w:r>
          </w:p>
        </w:tc>
      </w:tr>
    </w:tbl>
    <w:p w:rsidR="00E92169" w:rsidRDefault="00E92169" w:rsidP="00E92169">
      <w:pPr>
        <w:tabs>
          <w:tab w:val="left" w:pos="1935"/>
          <w:tab w:val="left" w:pos="9356"/>
        </w:tabs>
        <w:ind w:right="-1"/>
        <w:jc w:val="both"/>
      </w:pPr>
    </w:p>
    <w:p w:rsidR="00E92169" w:rsidRDefault="00E92169" w:rsidP="00E92169">
      <w:pPr>
        <w:ind w:right="-1"/>
        <w:jc w:val="both"/>
      </w:pPr>
      <w:r>
        <w:t>Karar No: 1510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92169" w:rsidRDefault="00E92169" w:rsidP="00E92169">
      <w:pPr>
        <w:tabs>
          <w:tab w:val="left" w:pos="0"/>
        </w:tabs>
        <w:ind w:right="-1"/>
        <w:jc w:val="center"/>
      </w:pPr>
    </w:p>
    <w:p w:rsidR="00E92169" w:rsidRDefault="00E92169" w:rsidP="00E92169">
      <w:pPr>
        <w:tabs>
          <w:tab w:val="left" w:pos="0"/>
        </w:tabs>
        <w:ind w:right="-1"/>
        <w:jc w:val="center"/>
      </w:pPr>
      <w:r>
        <w:t>-4-</w:t>
      </w:r>
    </w:p>
    <w:p w:rsidR="00E92169" w:rsidRDefault="00E92169" w:rsidP="00E92169">
      <w:pPr>
        <w:ind w:firstLine="709"/>
        <w:jc w:val="both"/>
      </w:pPr>
    </w:p>
    <w:p w:rsidR="00E92169" w:rsidRDefault="00E92169" w:rsidP="00E92169">
      <w:pPr>
        <w:ind w:firstLine="709"/>
        <w:jc w:val="both"/>
      </w:pPr>
    </w:p>
    <w:p w:rsidR="00E92169" w:rsidRDefault="00E92169" w:rsidP="00E92169">
      <w:pPr>
        <w:ind w:firstLine="709"/>
        <w:jc w:val="both"/>
      </w:pPr>
      <w:r w:rsidRPr="009339A4">
        <w:t>Ayrıca söz konusu bölgelerde ileride gelebilecek enerji talepleri ve tedarik sürekliliğinin sağlanması baz alınarak trafo tesislerimiz için teknik alt yapı alanlarının ayrılması gerekmektedir. Yapılacak çalışmalarda Elektrik Kuvvetli Akım Tesisleri Yönetmeliği'nde belirtilen yatay ve düşey emniyet mesafelerine riayet edilmesi gerektiği,</w:t>
      </w:r>
    </w:p>
    <w:p w:rsidR="00E92169" w:rsidRDefault="00E92169" w:rsidP="00E92169">
      <w:pPr>
        <w:ind w:firstLine="709"/>
        <w:jc w:val="both"/>
      </w:pPr>
    </w:p>
    <w:p w:rsidR="00E92169" w:rsidRDefault="00E92169" w:rsidP="00E92169">
      <w:pPr>
        <w:ind w:firstLine="709"/>
        <w:jc w:val="both"/>
      </w:pPr>
      <w:r w:rsidRPr="009339A4">
        <w:t>İlgi yazınıza konu olan bölgede 2025 yılı için bir yatırım planımız bulunmamakla birlikte, söz konusu parsellere yakın durumda bulunan mevcut elektrik dağıtım şebekelerimiz bulunmaktadır. Yapılması planlanan imar planında, yakınında kalan mevcut dağıtım tesislerimiz göz önünde bulundurulması ve söz konusu bölgelerden ileride gelebilecek enerji talepleri ile tedarik sürekliliğinin sağlanması baz alınarak trafo tesislerimiz için teknik alt yapı alanlarının ayrılması gerekmektedir." denildiği,</w:t>
      </w:r>
    </w:p>
    <w:p w:rsidR="00E92169" w:rsidRDefault="00E92169" w:rsidP="00E92169">
      <w:pPr>
        <w:ind w:firstLine="709"/>
        <w:jc w:val="both"/>
      </w:pPr>
    </w:p>
    <w:p w:rsidR="00E92169" w:rsidRDefault="00E92169" w:rsidP="00E92169">
      <w:pPr>
        <w:ind w:firstLine="709"/>
        <w:jc w:val="both"/>
      </w:pPr>
      <w:r w:rsidRPr="00160EFD">
        <w:rPr>
          <w:u w:val="single"/>
        </w:rPr>
        <w:t>ASKİ Genel Müdürlüğü'nün 11.07.2025 tarih ve E.851401 sayılı yazısında;</w:t>
      </w:r>
      <w:r w:rsidRPr="009339A4">
        <w:t xml:space="preserve"> "Planlanan imar düzenlemesi esnasında, İsale Hatlarımıza yapı yaklaşım mesafesi en az 15m. ve kazı yaklaşım mesafesi de en az 6m. olacak şekilde çalışmaların planlanması, İsale Hatlarımız üzerinde yol teşkil edilecek olması durumunda İsale Hatlarımızın yüke maruz kalmasını önlemek amacı ile yazımız ekinde sunulan krokilere uygun olarak İsale Hatlarımız üzerinde yol genişliği ve hat uzunluğu kadar alanda beton plak ya da hücresel dolgu yapılması, İsale Hatlarımızın emniyeti ve güvenliği için önem arz etmektedir.</w:t>
      </w:r>
    </w:p>
    <w:p w:rsidR="00E92169" w:rsidRDefault="00E92169" w:rsidP="00E92169">
      <w:pPr>
        <w:ind w:firstLine="709"/>
        <w:jc w:val="both"/>
      </w:pPr>
    </w:p>
    <w:p w:rsidR="00E92169" w:rsidRDefault="00E92169" w:rsidP="00E92169">
      <w:pPr>
        <w:ind w:firstLine="709"/>
        <w:jc w:val="both"/>
      </w:pPr>
      <w:r w:rsidRPr="009339A4">
        <w:t>Bahse konu imar çalışmalarına başlanacağı zaman aşağıda iletişim bilgileri verilen personel ile iletişime geçilerek çalışmalara Barajlar ve Ana İsale Hatları Dairesi Başkanlığından bir personelin refakatinin sağlanması, aksi halde 3. şahıslar dahil oluşabilecek her türlü zarar ve ziyandan ilgili şahıs, kurum yada kuruluşun sorumlu olacağı ve planlama esnasında mevcutlarımızın ve İsale Hatlarımızın korunması"nın istendiği,</w:t>
      </w:r>
    </w:p>
    <w:p w:rsidR="00E92169" w:rsidRDefault="00E92169" w:rsidP="00E92169">
      <w:pPr>
        <w:ind w:firstLine="709"/>
        <w:jc w:val="both"/>
      </w:pPr>
    </w:p>
    <w:p w:rsidR="00E92169" w:rsidRDefault="00E92169" w:rsidP="00E92169">
      <w:pPr>
        <w:ind w:firstLine="709"/>
        <w:jc w:val="both"/>
      </w:pPr>
      <w:r w:rsidRPr="00160EFD">
        <w:rPr>
          <w:u w:val="single"/>
        </w:rPr>
        <w:t>Başkent Doğalgaz Dağıtım Gayrimenkul Yatırım Ortak</w:t>
      </w:r>
      <w:r>
        <w:rPr>
          <w:u w:val="single"/>
        </w:rPr>
        <w:t>lığı A.Ş. Etüd Proje Müdürlüğün</w:t>
      </w:r>
      <w:r w:rsidRPr="00160EFD">
        <w:rPr>
          <w:u w:val="single"/>
        </w:rPr>
        <w:t>ün 30.06.2025 gün ve E.123407 sayılı yazısında;</w:t>
      </w:r>
      <w:r>
        <w:t xml:space="preserve"> </w:t>
      </w:r>
      <w:r w:rsidRPr="009339A4">
        <w:t>"İmar planı değişikliği yapılan alanda doğal gaz dağılım hattı ve tesisleri bulunmaktadır. Bu nedenle imar planı değişikliği çalışmasında korunması ve dikkate alınması için, planlama alanındaki kuruluşumuza ait doğal gaz yer altı ve yer üstü tesis bilgileri sayısal olarak ekteki CD içerisinde yazımız ekinde sunulmaktadır. Bölgede sunulan kamu hizmetinin aksamaması, doğal gaz arzının devamlılığı ve güvenliği için imar planında;</w:t>
      </w:r>
    </w:p>
    <w:p w:rsidR="00E92169" w:rsidRDefault="00E92169" w:rsidP="00E92169">
      <w:pPr>
        <w:ind w:firstLine="709"/>
        <w:jc w:val="both"/>
      </w:pPr>
    </w:p>
    <w:p w:rsidR="00E92169" w:rsidRDefault="00E92169" w:rsidP="00E92169">
      <w:pPr>
        <w:ind w:firstLine="709"/>
        <w:jc w:val="both"/>
      </w:pPr>
      <w:r w:rsidRPr="009339A4">
        <w:t>-Enerji Piyasası Düzenleme Kurumu'na ait Temel Teknik Kriterler Mevzuatında 2.Bölüm, 3.Maddesinde yer alan, Doğal gaz hatları Çelik ve polietilen boru hattı güzergâhları, engel teşkil edecek bir durum mevcut olmadığı sürece, imar yolları, kadastro yolları ve kamu kullanım alanlarından geçecek şekilde seçilir." ve 3.Bölüm, 5.Madde, (5.1) Bendinde; Doğal gaz yer altı ve yer üstü tesisleri "Şehir içi bölge istasyonları, engel bir neden olmadığı sürece öncelikli yeşil alanlara ve parklara, bulunmaması halinde insan trafiği açısından sakin, konul dışı boş alanlara yerleştirilir." hükmü kapsamında doğal gaz tesislerinin yolda veya yapılaşma koşullarına ve mülkiyete konu olmayacak park alanlarında kalacak şekilde planlanması önem arz etmektedir."</w:t>
      </w:r>
    </w:p>
    <w:p w:rsidR="00E92169" w:rsidRDefault="00E92169" w:rsidP="00E92169">
      <w:pPr>
        <w:ind w:firstLine="709"/>
        <w:jc w:val="both"/>
      </w:pPr>
    </w:p>
    <w:p w:rsidR="00E92169" w:rsidRDefault="00E92169" w:rsidP="00E92169">
      <w:pPr>
        <w:ind w:firstLine="709"/>
        <w:jc w:val="both"/>
      </w:pPr>
    </w:p>
    <w:p w:rsidR="00E92169" w:rsidRDefault="00E92169" w:rsidP="00E92169">
      <w:pPr>
        <w:ind w:firstLine="709"/>
        <w:jc w:val="both"/>
      </w:pPr>
    </w:p>
    <w:p w:rsidR="00E92169" w:rsidRDefault="00E92169" w:rsidP="00E9216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92169" w:rsidRPr="002D00A5" w:rsidTr="00740AC5">
        <w:trPr>
          <w:trHeight w:val="1008"/>
        </w:trPr>
        <w:tc>
          <w:tcPr>
            <w:tcW w:w="3510" w:type="dxa"/>
          </w:tcPr>
          <w:p w:rsidR="00E92169" w:rsidRPr="002D00A5" w:rsidRDefault="00E92169" w:rsidP="00740AC5">
            <w:pPr>
              <w:ind w:right="-1"/>
              <w:jc w:val="center"/>
            </w:pPr>
            <w:r w:rsidRPr="002D00A5">
              <w:lastRenderedPageBreak/>
              <w:t>T.C.</w:t>
            </w:r>
          </w:p>
          <w:p w:rsidR="00E92169" w:rsidRPr="002D00A5" w:rsidRDefault="00E92169" w:rsidP="00740AC5">
            <w:pPr>
              <w:ind w:right="-1"/>
              <w:jc w:val="center"/>
            </w:pPr>
            <w:r w:rsidRPr="002D00A5">
              <w:t>ANKARA BÜYÜKŞEHİR</w:t>
            </w:r>
          </w:p>
          <w:p w:rsidR="00E92169" w:rsidRPr="002D00A5" w:rsidRDefault="00E92169" w:rsidP="00740AC5">
            <w:pPr>
              <w:ind w:right="-1"/>
              <w:jc w:val="center"/>
            </w:pPr>
            <w:r w:rsidRPr="002D00A5">
              <w:t>BELEDİYE MECLİSİ</w:t>
            </w:r>
          </w:p>
        </w:tc>
      </w:tr>
    </w:tbl>
    <w:p w:rsidR="00E92169" w:rsidRDefault="00E92169" w:rsidP="00E92169">
      <w:pPr>
        <w:tabs>
          <w:tab w:val="left" w:pos="1935"/>
          <w:tab w:val="left" w:pos="9356"/>
        </w:tabs>
        <w:ind w:right="-1"/>
        <w:jc w:val="both"/>
      </w:pPr>
    </w:p>
    <w:p w:rsidR="00E92169" w:rsidRDefault="00E92169" w:rsidP="00E92169">
      <w:pPr>
        <w:ind w:right="-1"/>
        <w:jc w:val="both"/>
      </w:pPr>
      <w:r>
        <w:t>Karar No: 1510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92169" w:rsidRDefault="00E92169" w:rsidP="00E92169">
      <w:pPr>
        <w:tabs>
          <w:tab w:val="left" w:pos="0"/>
        </w:tabs>
        <w:ind w:right="-1"/>
        <w:jc w:val="center"/>
      </w:pPr>
      <w:r>
        <w:t>-5-</w:t>
      </w:r>
    </w:p>
    <w:p w:rsidR="00E92169" w:rsidRDefault="00E92169" w:rsidP="00E92169">
      <w:pPr>
        <w:jc w:val="both"/>
      </w:pPr>
    </w:p>
    <w:p w:rsidR="00E92169" w:rsidRDefault="00E92169" w:rsidP="00E92169">
      <w:pPr>
        <w:ind w:firstLine="709"/>
        <w:jc w:val="both"/>
      </w:pPr>
      <w:r w:rsidRPr="009339A4">
        <w:t>Ayrıca tarafınızca yapılan plan tadilatları incelendiğinde, dağıtım lisansına sahip olduğumuz yıldan itibaren yapılan imar planlan sonucunda oluşan konut, ticari alan, eğitim alanı, sanayi alanı, resmi kurum alanı gibi farklı kullanım türleriyle birlikte imar değişiklikleri ve genişlemelerinden kaynaklı mevcut doğal gaz şebekesinde gaz arzı sağlanmasında sorunlar ortaya çıkmaktadır. Bu nedenle ilerleyen yıllarda tüketicilere güvenli ve kesintisiz gaz arzının sağlanabilmesi hususunda gereğini, bilgilerinize arz ederiz." şeklinde görüşlerinin belirtildiği,</w:t>
      </w:r>
    </w:p>
    <w:p w:rsidR="00E92169" w:rsidRDefault="00E92169" w:rsidP="00E92169">
      <w:pPr>
        <w:ind w:firstLine="709"/>
        <w:jc w:val="both"/>
      </w:pPr>
    </w:p>
    <w:p w:rsidR="00E92169" w:rsidRDefault="00E92169" w:rsidP="00E92169">
      <w:pPr>
        <w:ind w:firstLine="709"/>
        <w:jc w:val="both"/>
      </w:pPr>
      <w:r w:rsidRPr="00B2362C">
        <w:rPr>
          <w:b/>
        </w:rPr>
        <w:t>Başkanlığımızca yapılan değerlendirmede</w:t>
      </w:r>
      <w:r w:rsidRPr="009339A4">
        <w:t>; mevcut imar planında park alanı olmakla birlikte plan değişiklik teklifi ile, planlama alanın güneyinde Sanayi ve Depolama Alanı ile İdari Hizmet Alanı olarak önerilen alandan Başkent Elektrik A.Ş.'nin 30.06.2025 tarih ve 691194 sayılı kurum görüş yazısı eki ile bildirilen hatlarının (YG hat kablo) geçtiği, Mekânsal Planlar Yapım Yönetmeliğinin, "Mekânsal Kullanım Tanımları ve Esasları" başlıklı 5. Maddesinde sosyal tesis alanının tanımının "j) Sosyal tesis alanı başlığında: Sosyal yaşamın niteliğini ve düzeyini artırmak amacı ile toplumun faydalanacağı kreş, kurs, yurt, çocuk yuvası, yetiştirme yurdu, yaşlı ve engelli bakımevi, rehabilitasyon merkezi, toplum merkezi, şefkat evleri gibi fonksiyonlarda hizmet vermek üzere ayrılan kamu veya özel mülkiyetteki alanlardır." şeklinde yapılmasına karşın teklife konu imar planı değişikliği 4 no</w:t>
      </w:r>
      <w:r>
        <w:t>.</w:t>
      </w:r>
      <w:r w:rsidRPr="009339A4">
        <w:t>lu plan notunda ise sosyal tesis alanı kullanımlı alanda yönetmelikteki tanımın haricinde bölge halkının günübirlik ihtiyacını karşılayabilecek nitelikte küçük ölçekli ticaret birimlerin de yer alabileceğine yönelik ibarelerin eklendiği, bu hususun yönetmelikte belirtilen sosyal tesis alanı tanımı ile uyuşmadığı, hususları tespit edilmiş olup plan değişiklik teklifinin Belediyemiz Meclisince uygun görülmesi halinde ise; planlama alanının güneybatısında önerilen Sanayi ve Depolama Alanı ile planlama alanının güneyinde önerilen İdari Hizmet Alanı sınırları içinde kalan Başkent Elektrik A.Ş sorumluluğundaki hatların üstünde cep otopark düzenlenerek bu alanların mülkiyete konu edilmeyecek şekilde tadil edilmesi, 4 no</w:t>
      </w:r>
      <w:r>
        <w:t>.</w:t>
      </w:r>
      <w:r w:rsidRPr="009339A4">
        <w:t>lu plan notunun ise Mekânsal Planlar Yapım Yönetmeliğindeki tanımıyla uyumlu olacak şekilde düzenlenmesi ve ayrıca altyapı kurum/kuruluşlarının görüşleri doğrultusunda ruhsatlandırma öncesinde plan değişikliğine konu alan sınırları içinde kalan tüm ada/parseller ruhsat düzenleyen idare tarafından altyapı kurum/kuruluşlarının görüşünün alınmasının zorunlu kılınmasına yönelik plan notu eklenmesi gerektiği değerlendirilmekle birlikte nihai karar yetkisinin Ankara Büyükşehir Belediye Meclisinde olduğu</w:t>
      </w:r>
      <w:r>
        <w:t>, görüş ve sonucuna varıldığı,</w:t>
      </w:r>
    </w:p>
    <w:p w:rsidR="00E92169" w:rsidRDefault="00E92169" w:rsidP="00E92169">
      <w:pPr>
        <w:jc w:val="both"/>
      </w:pPr>
    </w:p>
    <w:p w:rsidR="001B4473" w:rsidRDefault="00E92169" w:rsidP="001A52CF">
      <w:pPr>
        <w:tabs>
          <w:tab w:val="left" w:pos="0"/>
        </w:tabs>
        <w:ind w:right="-1" w:firstLine="709"/>
        <w:jc w:val="both"/>
      </w:pPr>
      <w:r>
        <w:t>Hususları tespit edilmiş olup</w:t>
      </w:r>
      <w:r w:rsidRPr="009339A4">
        <w:t xml:space="preserve">, </w:t>
      </w:r>
      <w:r>
        <w:t xml:space="preserve">Kahramankazan İlçesi Saray Mahallesi 220426/11 ve 14, 220431/8, 220428/3, 4, 5 ve 6, 220425/1 ada parseller ve </w:t>
      </w:r>
      <w:r w:rsidRPr="009339A4">
        <w:t>çevresine</w:t>
      </w:r>
      <w:r>
        <w:t xml:space="preserve"> yönelik</w:t>
      </w:r>
      <w:r w:rsidRPr="009339A4">
        <w:t xml:space="preserve"> 1/1000 ölçekl</w:t>
      </w:r>
      <w:r>
        <w:t>i uygulama imar planı değişikliği</w:t>
      </w:r>
      <w:r w:rsidRPr="009339A4">
        <w:t xml:space="preserve"> ve tavsiye nitelikli sunulan 1/5000 ölçekli nazım imar planı değişikliği</w:t>
      </w:r>
      <w:r>
        <w:t xml:space="preserve">nin </w:t>
      </w:r>
      <w:r w:rsidRPr="004108CB">
        <w:t>“onayı”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t xml:space="preserve"> AK Parti, MHP ve BBP </w:t>
      </w:r>
      <w:r w:rsidR="00692020">
        <w:t xml:space="preserve">Gruplarının </w:t>
      </w:r>
      <w:r>
        <w:t>ret oy</w:t>
      </w:r>
      <w:r w:rsidR="00692020">
        <w:t>larına</w:t>
      </w:r>
      <w:r>
        <w:t xml:space="preserve"> karşı</w:t>
      </w:r>
      <w:r w:rsidR="00594D8F">
        <w:t xml:space="preserve"> </w:t>
      </w:r>
      <w:r w:rsidR="00EC582E" w:rsidRPr="00896330">
        <w:t>oy</w:t>
      </w:r>
      <w:r>
        <w:t>çokluğu</w:t>
      </w:r>
      <w:r w:rsidR="00CF13DE">
        <w:t xml:space="preserve">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602"/>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BD6"/>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2020"/>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E20"/>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169"/>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FC1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A82D-6CE8-44A5-B528-E02D58E8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2081</Words>
  <Characters>14566</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4</cp:revision>
  <cp:lastPrinted>2025-07-09T11:35:00Z</cp:lastPrinted>
  <dcterms:created xsi:type="dcterms:W3CDTF">2025-10-15T11:41:00Z</dcterms:created>
  <dcterms:modified xsi:type="dcterms:W3CDTF">2025-10-17T13:34:00Z</dcterms:modified>
</cp:coreProperties>
</file>