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067651">
        <w:t>214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067651" w:rsidP="00AA7ED1">
      <w:pPr>
        <w:ind w:right="-1" w:firstLine="708"/>
        <w:jc w:val="both"/>
      </w:pPr>
      <w:r>
        <w:t>Yeniden düzenlenen AYKOME Şube Müdürlüğü Çalışma, Usul ve Esasları ile Müeyyideler Yönetmeliğine</w:t>
      </w:r>
      <w:r w:rsidR="00856AB3" w:rsidRPr="001B4D38">
        <w:t xml:space="preserve"> </w:t>
      </w:r>
      <w:r w:rsidR="005F6BCC" w:rsidRPr="001B4D38">
        <w:t xml:space="preserve">ilişkin </w:t>
      </w:r>
      <w:r w:rsidR="001B4D38" w:rsidRPr="00B01357">
        <w:rPr>
          <w:sz w:val="23"/>
          <w:szCs w:val="23"/>
        </w:rPr>
        <w:t>Hukuk ve Tarifeler</w:t>
      </w:r>
      <w:r w:rsidR="00A574C9" w:rsidRPr="001B4D38">
        <w:t xml:space="preserve"> Komisyonu</w:t>
      </w:r>
      <w:r w:rsidR="00005846" w:rsidRPr="001B4D38">
        <w:t xml:space="preserve">nun </w:t>
      </w:r>
      <w:r w:rsidR="001B4D38">
        <w:t>21</w:t>
      </w:r>
      <w:r w:rsidR="00005846" w:rsidRPr="001B4D38">
        <w:t>.</w:t>
      </w:r>
      <w:r w:rsidR="00CF13DE" w:rsidRPr="001B4D38">
        <w:t>07</w:t>
      </w:r>
      <w:r w:rsidR="00B52587" w:rsidRPr="001B4D38">
        <w:t>.2025</w:t>
      </w:r>
      <w:r w:rsidR="00EC582E" w:rsidRPr="001B4D38">
        <w:t xml:space="preserve"> tarihli ve </w:t>
      </w:r>
      <w:r w:rsidR="00B95F5D">
        <w:t>60</w:t>
      </w:r>
      <w:r w:rsidR="00F762B4" w:rsidRPr="001B4D38">
        <w:t xml:space="preserve"> </w:t>
      </w:r>
      <w:r w:rsidR="00EC582E" w:rsidRPr="001B4D38">
        <w:t xml:space="preserve">sayılı Raporu Büyükşehir Belediye Meclisinin </w:t>
      </w:r>
      <w:r w:rsidR="001B4D38"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B95F5D" w:rsidRDefault="00EC582E" w:rsidP="00B95F5D">
      <w:pPr>
        <w:tabs>
          <w:tab w:val="left" w:pos="9638"/>
        </w:tabs>
        <w:ind w:right="-1" w:firstLine="709"/>
        <w:jc w:val="both"/>
      </w:pPr>
      <w:r w:rsidRPr="00E35A5A">
        <w:t>Konu üzerinde yapılan görüşmelerde;</w:t>
      </w:r>
      <w:r w:rsidR="00896330">
        <w:t xml:space="preserve"> </w:t>
      </w:r>
      <w:r w:rsidR="00B95F5D">
        <w:t>Fen İşleri Dairesi Başkanlığı'nın 04.06.2025 tarihli yazısı ile Kanun/Yönetmeliklerdeki değişiklikler ve uygulamada yaşanan sıkıntıların giderilmesi amacıyla AYKOME Şube Müdürlüğü Çalışma, Usul ve Esasları ile Müeyyideler Yönetmeliği'nde değişiklikler hasıl olmuş, yeniden düzenlenen AYKOME Şube Müdürlüğü Çalışma, Usul ve Esasları ile Müeyyideler Taslak Yönetmeliği, Mevzuat Hazırlama Usul ve Esasları Hakkındaki Yönetmeliğin 5'inci maddesi kapsamında Hukuk Müşavirliği'nin 03.07.2025 tarihli ve E. 1797120 sayılı yazıları ile uygun görüldüğü;</w:t>
      </w:r>
    </w:p>
    <w:p w:rsidR="00B95F5D" w:rsidRDefault="00B95F5D" w:rsidP="00B95F5D">
      <w:pPr>
        <w:pStyle w:val="msobodytextindent"/>
        <w:tabs>
          <w:tab w:val="left" w:pos="9355"/>
        </w:tabs>
        <w:ind w:firstLine="709"/>
      </w:pPr>
    </w:p>
    <w:p w:rsidR="00B95F5D" w:rsidRDefault="00B95F5D" w:rsidP="00B95F5D">
      <w:pPr>
        <w:pStyle w:val="msobodytextindent"/>
        <w:tabs>
          <w:tab w:val="left" w:pos="9355"/>
        </w:tabs>
        <w:ind w:firstLine="709"/>
      </w:pPr>
    </w:p>
    <w:tbl>
      <w:tblPr>
        <w:tblW w:w="0" w:type="dxa"/>
        <w:tblLayout w:type="fixed"/>
        <w:tblCellMar>
          <w:left w:w="10" w:type="dxa"/>
          <w:right w:w="10" w:type="dxa"/>
        </w:tblCellMar>
        <w:tblLook w:val="04A0" w:firstRow="1" w:lastRow="0" w:firstColumn="1" w:lastColumn="0" w:noHBand="0" w:noVBand="1"/>
      </w:tblPr>
      <w:tblGrid>
        <w:gridCol w:w="562"/>
        <w:gridCol w:w="6258"/>
        <w:gridCol w:w="1361"/>
        <w:gridCol w:w="1290"/>
      </w:tblGrid>
      <w:tr w:rsidR="00B95F5D" w:rsidTr="006023F6">
        <w:trPr>
          <w:trHeight w:val="397"/>
        </w:trPr>
        <w:tc>
          <w:tcPr>
            <w:tcW w:w="9471" w:type="dxa"/>
            <w:gridSpan w:val="4"/>
            <w:tcBorders>
              <w:top w:val="triple" w:sz="6" w:space="0" w:color="auto"/>
              <w:left w:val="triple" w:sz="6" w:space="0" w:color="auto"/>
              <w:bottom w:val="single" w:sz="4" w:space="0" w:color="auto"/>
              <w:right w:val="triple" w:sz="6" w:space="0" w:color="auto"/>
            </w:tcBorders>
            <w:shd w:val="clear" w:color="auto" w:fill="FFFFFF"/>
            <w:vAlign w:val="center"/>
            <w:hideMark/>
          </w:tcPr>
          <w:p w:rsidR="00B95F5D" w:rsidRPr="006023F6" w:rsidRDefault="00B95F5D" w:rsidP="00B95F5D">
            <w:pPr>
              <w:jc w:val="center"/>
              <w:rPr>
                <w:b/>
                <w:sz w:val="16"/>
                <w:szCs w:val="16"/>
              </w:rPr>
            </w:pPr>
            <w:r w:rsidRPr="006023F6">
              <w:rPr>
                <w:b/>
                <w:sz w:val="16"/>
                <w:szCs w:val="16"/>
              </w:rPr>
              <w:t>MÜEYYİDE BEDELLERİ CETVELİ</w:t>
            </w:r>
          </w:p>
        </w:tc>
      </w:tr>
      <w:tr w:rsidR="00B95F5D" w:rsidTr="006023F6">
        <w:trPr>
          <w:trHeight w:val="850"/>
        </w:trPr>
        <w:tc>
          <w:tcPr>
            <w:tcW w:w="562"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6023F6" w:rsidRDefault="00B95F5D" w:rsidP="006023F6">
            <w:pPr>
              <w:jc w:val="center"/>
              <w:rPr>
                <w:b/>
                <w:sz w:val="16"/>
                <w:szCs w:val="16"/>
              </w:rPr>
            </w:pPr>
            <w:r w:rsidRPr="006023F6">
              <w:rPr>
                <w:b/>
                <w:sz w:val="16"/>
                <w:szCs w:val="16"/>
              </w:rPr>
              <w:t>S.NO</w:t>
            </w:r>
          </w:p>
        </w:tc>
        <w:tc>
          <w:tcPr>
            <w:tcW w:w="6258"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B95F5D">
            <w:pPr>
              <w:jc w:val="center"/>
              <w:rPr>
                <w:b/>
                <w:sz w:val="16"/>
                <w:szCs w:val="16"/>
              </w:rPr>
            </w:pPr>
            <w:r w:rsidRPr="006023F6">
              <w:rPr>
                <w:b/>
                <w:sz w:val="16"/>
                <w:szCs w:val="16"/>
              </w:rPr>
              <w:t>ANKARA BÜYÜKŞEHİR MECLİSİNİN KARARI İLE KABUL EDİLEN ANKARA BÜYÜKŞEHİR BELEDİYESİ AYKOME ÇALIŞMA USLUL ve ESASLARI İLE MÜEYYİDELER YÖNETMELİĞİNİN İLGİLİ MADDELERİ</w:t>
            </w:r>
          </w:p>
        </w:tc>
        <w:tc>
          <w:tcPr>
            <w:tcW w:w="1361"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6023F6">
            <w:pPr>
              <w:jc w:val="center"/>
              <w:rPr>
                <w:b/>
                <w:sz w:val="16"/>
                <w:szCs w:val="16"/>
              </w:rPr>
            </w:pPr>
            <w:r w:rsidRPr="006023F6">
              <w:rPr>
                <w:b/>
                <w:sz w:val="16"/>
                <w:szCs w:val="16"/>
              </w:rPr>
              <w:t>2024 YILI MÜEYYİDE BEDELLERİ</w:t>
            </w:r>
          </w:p>
        </w:tc>
        <w:tc>
          <w:tcPr>
            <w:tcW w:w="1290"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6023F6">
            <w:pPr>
              <w:jc w:val="center"/>
              <w:rPr>
                <w:b/>
                <w:sz w:val="16"/>
                <w:szCs w:val="16"/>
              </w:rPr>
            </w:pPr>
            <w:r w:rsidRPr="006023F6">
              <w:rPr>
                <w:b/>
                <w:sz w:val="16"/>
                <w:szCs w:val="16"/>
              </w:rPr>
              <w:t>2025 YILI MÜEYYİDE BEDELLERİ</w:t>
            </w:r>
          </w:p>
        </w:tc>
      </w:tr>
      <w:tr w:rsidR="00B95F5D" w:rsidTr="006023F6">
        <w:trPr>
          <w:trHeight w:val="850"/>
        </w:trPr>
        <w:tc>
          <w:tcPr>
            <w:tcW w:w="562"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6023F6" w:rsidRDefault="00B95F5D" w:rsidP="00B95F5D">
            <w:pPr>
              <w:jc w:val="center"/>
              <w:rPr>
                <w:b/>
                <w:sz w:val="16"/>
                <w:szCs w:val="16"/>
              </w:rPr>
            </w:pPr>
          </w:p>
          <w:p w:rsidR="00B95F5D" w:rsidRPr="006023F6" w:rsidRDefault="00B95F5D" w:rsidP="00B95F5D">
            <w:pPr>
              <w:jc w:val="center"/>
              <w:rPr>
                <w:b/>
                <w:sz w:val="16"/>
                <w:szCs w:val="16"/>
              </w:rPr>
            </w:pPr>
            <w:r w:rsidRPr="006023F6">
              <w:rPr>
                <w:b/>
                <w:sz w:val="16"/>
                <w:szCs w:val="16"/>
              </w:rPr>
              <w:t>1</w:t>
            </w:r>
          </w:p>
        </w:tc>
        <w:tc>
          <w:tcPr>
            <w:tcW w:w="6258"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6023F6">
            <w:pPr>
              <w:jc w:val="center"/>
              <w:rPr>
                <w:sz w:val="14"/>
                <w:szCs w:val="14"/>
              </w:rPr>
            </w:pPr>
            <w:r w:rsidRPr="006023F6">
              <w:rPr>
                <w:sz w:val="14"/>
                <w:szCs w:val="14"/>
              </w:rPr>
              <w:t>Yönetmeliğin 24. maddesi 10. fıkrasına istinaden her tutanak</w:t>
            </w:r>
            <w:r w:rsidR="006023F6">
              <w:rPr>
                <w:sz w:val="14"/>
                <w:szCs w:val="14"/>
              </w:rPr>
              <w:t xml:space="preserve"> için (Çalışma sahasında zemin </w:t>
            </w:r>
            <w:r w:rsidRPr="006023F6">
              <w:rPr>
                <w:sz w:val="14"/>
                <w:szCs w:val="14"/>
              </w:rPr>
              <w:t>kaplaması malzemesi artığı, kazı artığı, dolgu malzemesi ve benzeri bir madde bırakıldığı tespit edilmesi)</w:t>
            </w:r>
          </w:p>
        </w:tc>
        <w:tc>
          <w:tcPr>
            <w:tcW w:w="1361"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₺17.662,74</w:t>
            </w:r>
          </w:p>
        </w:tc>
        <w:tc>
          <w:tcPr>
            <w:tcW w:w="1290"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₺25.421,99</w:t>
            </w:r>
          </w:p>
        </w:tc>
      </w:tr>
      <w:tr w:rsidR="00B95F5D" w:rsidTr="006023F6">
        <w:trPr>
          <w:trHeight w:val="964"/>
        </w:trPr>
        <w:tc>
          <w:tcPr>
            <w:tcW w:w="562"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6023F6" w:rsidRDefault="00B95F5D" w:rsidP="00B95F5D">
            <w:pPr>
              <w:jc w:val="center"/>
              <w:rPr>
                <w:b/>
                <w:sz w:val="16"/>
                <w:szCs w:val="16"/>
              </w:rPr>
            </w:pPr>
          </w:p>
          <w:p w:rsidR="00B95F5D" w:rsidRPr="006023F6" w:rsidRDefault="00B95F5D" w:rsidP="00B95F5D">
            <w:pPr>
              <w:jc w:val="center"/>
              <w:rPr>
                <w:b/>
                <w:sz w:val="16"/>
                <w:szCs w:val="16"/>
              </w:rPr>
            </w:pPr>
            <w:r w:rsidRPr="006023F6">
              <w:rPr>
                <w:b/>
                <w:sz w:val="16"/>
                <w:szCs w:val="16"/>
              </w:rPr>
              <w:t>2</w:t>
            </w:r>
          </w:p>
        </w:tc>
        <w:tc>
          <w:tcPr>
            <w:tcW w:w="6258"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6023F6" w:rsidRDefault="00B95F5D" w:rsidP="006023F6">
            <w:pPr>
              <w:jc w:val="center"/>
              <w:rPr>
                <w:sz w:val="14"/>
                <w:szCs w:val="14"/>
              </w:rPr>
            </w:pPr>
            <w:r w:rsidRPr="006023F6">
              <w:rPr>
                <w:sz w:val="14"/>
                <w:szCs w:val="14"/>
              </w:rPr>
              <w:t>Yönetmeliğin 24. maddesi 12. fıkrasına istinaden her tutanak için (Alty</w:t>
            </w:r>
            <w:r w:rsidR="006023F6">
              <w:rPr>
                <w:sz w:val="14"/>
                <w:szCs w:val="14"/>
              </w:rPr>
              <w:t>apı tesisi kazı çalışmalarında,</w:t>
            </w:r>
          </w:p>
          <w:p w:rsidR="00B95F5D" w:rsidRPr="006023F6" w:rsidRDefault="00B95F5D" w:rsidP="006023F6">
            <w:pPr>
              <w:jc w:val="center"/>
              <w:rPr>
                <w:sz w:val="14"/>
                <w:szCs w:val="14"/>
              </w:rPr>
            </w:pPr>
            <w:r w:rsidRPr="006023F6">
              <w:rPr>
                <w:sz w:val="14"/>
                <w:szCs w:val="14"/>
              </w:rPr>
              <w:t>zemin eski haline getirilinceye kadar trafik ve emniyet tedbirinin alınmadığı ve/veya yeteri kadar alınmadığının tespit edilmesi)</w:t>
            </w:r>
          </w:p>
        </w:tc>
        <w:tc>
          <w:tcPr>
            <w:tcW w:w="1361"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₺17.662,74</w:t>
            </w:r>
          </w:p>
        </w:tc>
        <w:tc>
          <w:tcPr>
            <w:tcW w:w="1290"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₺25.421,99</w:t>
            </w:r>
          </w:p>
        </w:tc>
      </w:tr>
      <w:tr w:rsidR="00B95F5D" w:rsidTr="006023F6">
        <w:trPr>
          <w:trHeight w:val="964"/>
        </w:trPr>
        <w:tc>
          <w:tcPr>
            <w:tcW w:w="562"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6023F6" w:rsidRDefault="00B95F5D" w:rsidP="00B95F5D">
            <w:pPr>
              <w:jc w:val="center"/>
              <w:rPr>
                <w:b/>
                <w:sz w:val="16"/>
                <w:szCs w:val="16"/>
              </w:rPr>
            </w:pPr>
            <w:r w:rsidRPr="006023F6">
              <w:rPr>
                <w:b/>
                <w:sz w:val="16"/>
                <w:szCs w:val="16"/>
              </w:rPr>
              <w:t>3</w:t>
            </w:r>
          </w:p>
        </w:tc>
        <w:tc>
          <w:tcPr>
            <w:tcW w:w="6258"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6023F6">
            <w:pPr>
              <w:jc w:val="center"/>
              <w:rPr>
                <w:sz w:val="14"/>
                <w:szCs w:val="14"/>
              </w:rPr>
            </w:pPr>
            <w:r w:rsidRPr="006023F6">
              <w:rPr>
                <w:sz w:val="14"/>
                <w:szCs w:val="14"/>
              </w:rPr>
              <w:t>Yönetmeliğin 24. maddesi 13. fıkrasına istinaden her tutanak için (Çevre, trafik ve emniyet güvenliği ile ilgili bariyerler, dubalar, yaya köprüsü, file, şerit, işaret, trafik ikaz işaret ve cihazları, gerekli hallerde akülü flaşör, ikaz fenerleri ve benzeri emniyet tedbiri için kullanılan araç ve gereçlerin sahada bulunmadığının tespit edilmesi)</w:t>
            </w:r>
          </w:p>
        </w:tc>
        <w:tc>
          <w:tcPr>
            <w:tcW w:w="1361"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₺7.065,10</w:t>
            </w:r>
          </w:p>
        </w:tc>
        <w:tc>
          <w:tcPr>
            <w:tcW w:w="1290"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₺10.168,79</w:t>
            </w:r>
          </w:p>
        </w:tc>
      </w:tr>
      <w:tr w:rsidR="00B95F5D" w:rsidTr="006023F6">
        <w:trPr>
          <w:trHeight w:val="964"/>
        </w:trPr>
        <w:tc>
          <w:tcPr>
            <w:tcW w:w="562"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B95F5D">
            <w:pPr>
              <w:jc w:val="center"/>
              <w:rPr>
                <w:b/>
                <w:sz w:val="16"/>
                <w:szCs w:val="16"/>
              </w:rPr>
            </w:pPr>
            <w:r w:rsidRPr="006023F6">
              <w:rPr>
                <w:b/>
                <w:sz w:val="16"/>
                <w:szCs w:val="16"/>
              </w:rPr>
              <w:t>4</w:t>
            </w:r>
          </w:p>
        </w:tc>
        <w:tc>
          <w:tcPr>
            <w:tcW w:w="6258" w:type="dxa"/>
            <w:tcBorders>
              <w:top w:val="triple" w:sz="6" w:space="0" w:color="auto"/>
              <w:left w:val="triple" w:sz="6" w:space="0" w:color="auto"/>
              <w:bottom w:val="triple" w:sz="6" w:space="0" w:color="auto"/>
              <w:right w:val="triple" w:sz="6" w:space="0" w:color="auto"/>
            </w:tcBorders>
            <w:shd w:val="clear" w:color="auto" w:fill="FFFFFF"/>
            <w:vAlign w:val="center"/>
            <w:hideMark/>
          </w:tcPr>
          <w:p w:rsidR="00B95F5D" w:rsidRPr="006023F6" w:rsidRDefault="00B95F5D" w:rsidP="006023F6">
            <w:pPr>
              <w:jc w:val="center"/>
              <w:rPr>
                <w:sz w:val="14"/>
                <w:szCs w:val="14"/>
              </w:rPr>
            </w:pPr>
            <w:r w:rsidRPr="006023F6">
              <w:rPr>
                <w:sz w:val="14"/>
                <w:szCs w:val="14"/>
              </w:rPr>
              <w:t>Yönetmeliğin 24. maddesi 14. fıkrasına istinaden her tutanak için (Çalışmanın yapıldığı alanda bilgilendirme levhası olmadığı veya bilgilendirme levhası üzerinde ilgili kurumun amblemi, kurumun adı, işin niteliği, telefon numarası, çalışmanın süresi ve içeriği gibi tanıtıcı bilgiler içeren bir tabela bulundurulmadığı tespit edilmesi)</w:t>
            </w:r>
          </w:p>
        </w:tc>
        <w:tc>
          <w:tcPr>
            <w:tcW w:w="1361"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₺7.065,10</w:t>
            </w:r>
          </w:p>
        </w:tc>
        <w:tc>
          <w:tcPr>
            <w:tcW w:w="1290" w:type="dxa"/>
            <w:tcBorders>
              <w:top w:val="triple" w:sz="6" w:space="0" w:color="auto"/>
              <w:left w:val="triple" w:sz="6" w:space="0" w:color="auto"/>
              <w:bottom w:val="triple" w:sz="6" w:space="0" w:color="auto"/>
              <w:right w:val="triple" w:sz="6" w:space="0" w:color="auto"/>
            </w:tcBorders>
            <w:shd w:val="clear" w:color="auto" w:fill="FFFFFF"/>
            <w:vAlign w:val="center"/>
          </w:tcPr>
          <w:p w:rsidR="00B95F5D" w:rsidRPr="00B95F5D" w:rsidRDefault="00B95F5D" w:rsidP="006023F6">
            <w:pPr>
              <w:jc w:val="center"/>
              <w:rPr>
                <w:sz w:val="16"/>
                <w:szCs w:val="16"/>
              </w:rPr>
            </w:pPr>
            <w:r w:rsidRPr="00B95F5D">
              <w:rPr>
                <w:sz w:val="16"/>
                <w:szCs w:val="16"/>
              </w:rPr>
              <w:t>₺10.168,79</w:t>
            </w:r>
          </w:p>
        </w:tc>
      </w:tr>
    </w:tbl>
    <w:p w:rsidR="00B95F5D" w:rsidRDefault="00B95F5D" w:rsidP="00B95F5D">
      <w:pPr>
        <w:pStyle w:val="msobodytextindent"/>
        <w:tabs>
          <w:tab w:val="left" w:pos="9355"/>
        </w:tabs>
        <w:ind w:firstLine="709"/>
      </w:pPr>
    </w:p>
    <w:p w:rsidR="006023F6" w:rsidRDefault="00B95F5D" w:rsidP="00B95F5D">
      <w:pPr>
        <w:pStyle w:val="msobodytextindent"/>
        <w:tabs>
          <w:tab w:val="left" w:pos="9355"/>
        </w:tabs>
        <w:ind w:firstLine="709"/>
      </w:pPr>
      <w:r>
        <w:t xml:space="preserve">13.10.1983 Tarihli ve 2918 Sayılı Karayolları Trafik Kanununun 13. Maddesinin b fıkrası ve Yapım İşleri Genel Şartnamesinin 27. Maddesi 1. Fıkrasının b bendi gereği yol güzergâhlarında çalışma yapan özel/tüzel kişiler tarafından yukarıdaki Müeyyide Bedelleri Cetvelinde belirtilen görev ve sorumlulukların yerine getirilmesi gerekmektedir. Müeyyide Bedelleri Cetvelinde belirtilen görev ve sorumlulukların çalışmayı yapan özel/tüzel kişiler tarafından yerine getirilmemesi halinde, Ankara Büyükşehir Belediye Meclisi'nin 22/11/2021 tarihli ve 2449 No.lu kararıyla yürürlüğe giren Ankara Büyükşehir Belediyesi Altyapı Koordinasyon Merkezi Yönetmeliği Müeyyide Bedelleri Cetvelinde (Ek-l)'de belirlenen müeyyide bedellerinin Hazine ve </w:t>
      </w:r>
    </w:p>
    <w:p w:rsidR="006023F6" w:rsidRDefault="006023F6" w:rsidP="00B95F5D">
      <w:pPr>
        <w:pStyle w:val="msobodytextindent"/>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023F6" w:rsidRPr="002D00A5" w:rsidTr="0012449D">
        <w:trPr>
          <w:trHeight w:val="1008"/>
        </w:trPr>
        <w:tc>
          <w:tcPr>
            <w:tcW w:w="3510" w:type="dxa"/>
          </w:tcPr>
          <w:p w:rsidR="006023F6" w:rsidRPr="002D00A5" w:rsidRDefault="006023F6" w:rsidP="0012449D">
            <w:pPr>
              <w:ind w:right="-1"/>
              <w:jc w:val="center"/>
            </w:pPr>
            <w:r w:rsidRPr="002D00A5">
              <w:lastRenderedPageBreak/>
              <w:t>T.C.</w:t>
            </w:r>
          </w:p>
          <w:p w:rsidR="006023F6" w:rsidRPr="002D00A5" w:rsidRDefault="006023F6" w:rsidP="0012449D">
            <w:pPr>
              <w:ind w:right="-1"/>
              <w:jc w:val="center"/>
            </w:pPr>
            <w:r w:rsidRPr="002D00A5">
              <w:t>ANKARA BÜYÜKŞEHİR</w:t>
            </w:r>
          </w:p>
          <w:p w:rsidR="006023F6" w:rsidRPr="002D00A5" w:rsidRDefault="006023F6" w:rsidP="0012449D">
            <w:pPr>
              <w:ind w:right="-1"/>
              <w:jc w:val="center"/>
            </w:pPr>
            <w:r w:rsidRPr="002D00A5">
              <w:t>BELEDİYE MECLİSİ</w:t>
            </w:r>
          </w:p>
        </w:tc>
      </w:tr>
    </w:tbl>
    <w:p w:rsidR="006023F6" w:rsidRDefault="006023F6" w:rsidP="006023F6">
      <w:pPr>
        <w:tabs>
          <w:tab w:val="left" w:pos="1935"/>
          <w:tab w:val="left" w:pos="9356"/>
        </w:tabs>
        <w:ind w:right="-1"/>
        <w:jc w:val="both"/>
      </w:pPr>
    </w:p>
    <w:p w:rsidR="006023F6" w:rsidRDefault="006023F6" w:rsidP="006023F6">
      <w:pPr>
        <w:ind w:right="-1"/>
        <w:jc w:val="both"/>
      </w:pPr>
      <w:r>
        <w:t>Karar No: 1214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13.08.2025</w:t>
      </w:r>
    </w:p>
    <w:p w:rsidR="006023F6" w:rsidRDefault="006023F6" w:rsidP="006023F6">
      <w:pPr>
        <w:ind w:right="-1"/>
        <w:jc w:val="both"/>
      </w:pPr>
    </w:p>
    <w:p w:rsidR="006023F6" w:rsidRDefault="006023F6" w:rsidP="006023F6">
      <w:pPr>
        <w:ind w:right="-1"/>
        <w:jc w:val="center"/>
      </w:pPr>
      <w:r>
        <w:t>-2-</w:t>
      </w:r>
    </w:p>
    <w:p w:rsidR="006023F6" w:rsidRDefault="006023F6" w:rsidP="00B95F5D">
      <w:pPr>
        <w:pStyle w:val="msobodytextindent"/>
        <w:tabs>
          <w:tab w:val="left" w:pos="9355"/>
        </w:tabs>
        <w:ind w:firstLine="709"/>
      </w:pPr>
    </w:p>
    <w:p w:rsidR="006023F6" w:rsidRDefault="006023F6" w:rsidP="00B95F5D">
      <w:pPr>
        <w:pStyle w:val="msobodytextindent"/>
        <w:tabs>
          <w:tab w:val="left" w:pos="9355"/>
        </w:tabs>
        <w:ind w:firstLine="709"/>
      </w:pPr>
    </w:p>
    <w:p w:rsidR="006023F6" w:rsidRDefault="006023F6" w:rsidP="00B95F5D">
      <w:pPr>
        <w:pStyle w:val="msobodytextindent"/>
        <w:tabs>
          <w:tab w:val="left" w:pos="9355"/>
        </w:tabs>
        <w:ind w:firstLine="709"/>
      </w:pPr>
    </w:p>
    <w:p w:rsidR="006023F6" w:rsidRDefault="006023F6" w:rsidP="00B95F5D">
      <w:pPr>
        <w:pStyle w:val="msobodytextindent"/>
        <w:tabs>
          <w:tab w:val="left" w:pos="9355"/>
        </w:tabs>
        <w:ind w:firstLine="709"/>
      </w:pPr>
    </w:p>
    <w:p w:rsidR="00B95F5D" w:rsidRDefault="00B95F5D" w:rsidP="006023F6">
      <w:pPr>
        <w:pStyle w:val="msobodytextindent"/>
        <w:tabs>
          <w:tab w:val="left" w:pos="9355"/>
        </w:tabs>
        <w:ind w:firstLine="0"/>
      </w:pPr>
      <w:r>
        <w:t>Maliye Bakanlığı tarafından 2025 yılı için %43,93 olarak belirlenen yeniden değerleme oranında 2024 Müeyyide Bedellerinin güncellenmesiyle hesaplandığı;</w:t>
      </w:r>
    </w:p>
    <w:p w:rsidR="00B95F5D" w:rsidRDefault="00B95F5D" w:rsidP="00B95F5D">
      <w:pPr>
        <w:pStyle w:val="msobodytextindent"/>
        <w:tabs>
          <w:tab w:val="left" w:pos="9355"/>
        </w:tabs>
        <w:ind w:firstLine="0"/>
      </w:pPr>
    </w:p>
    <w:p w:rsidR="002C380C" w:rsidRDefault="00B95F5D" w:rsidP="006B479C">
      <w:pPr>
        <w:tabs>
          <w:tab w:val="left" w:pos="9638"/>
        </w:tabs>
        <w:ind w:right="-1" w:firstLine="709"/>
        <w:jc w:val="both"/>
      </w:pPr>
      <w:r>
        <w:t>AYKOME Şube Müdürlüğü Çalışma, Usul ve Esasları ile Müeyyideler Yönetmeliğin kabulü</w:t>
      </w:r>
      <w:r w:rsidR="006023F6">
        <w:t xml:space="preserve">ne </w:t>
      </w:r>
      <w:r w:rsidR="00EC582E" w:rsidRPr="00896330">
        <w:t xml:space="preserve">ilişkin </w:t>
      </w:r>
      <w:r w:rsidR="001B4D38" w:rsidRPr="00B01357">
        <w:rPr>
          <w:sz w:val="23"/>
          <w:szCs w:val="23"/>
        </w:rPr>
        <w:t>Hukuk ve Tarifeler</w:t>
      </w:r>
      <w:r w:rsidR="00A574C9" w:rsidRPr="00896330">
        <w:t xml:space="preserve"> </w:t>
      </w:r>
      <w:r w:rsidR="00EC582E" w:rsidRPr="00896330">
        <w:t>Komisyonu Raporu</w:t>
      </w:r>
      <w:r w:rsidR="00CF13DE">
        <w:t xml:space="preserve"> </w:t>
      </w:r>
      <w:r w:rsidR="00EC582E" w:rsidRPr="00896330">
        <w:t>oylanarak</w:t>
      </w:r>
      <w:r w:rsidR="006023F6">
        <w:t xml:space="preserve"> AK Parti ve MHP Gruplarının ret oylarına karşın</w:t>
      </w:r>
      <w:r w:rsidR="00594D8F">
        <w:t xml:space="preserve"> </w:t>
      </w:r>
      <w:r w:rsidR="00EC582E" w:rsidRPr="00896330">
        <w:t>oy</w:t>
      </w:r>
      <w:r w:rsidR="006023F6">
        <w:t>çokluğu</w:t>
      </w:r>
      <w:r w:rsidR="00CF13DE">
        <w:t xml:space="preserve"> </w:t>
      </w:r>
      <w:r w:rsidR="00EC582E" w:rsidRPr="00896330">
        <w:t>ile kabul edildi.</w:t>
      </w:r>
    </w:p>
    <w:p w:rsidR="002B5611" w:rsidRDefault="002B5611" w:rsidP="00AA7ED1">
      <w:pPr>
        <w:tabs>
          <w:tab w:val="left" w:pos="709"/>
        </w:tabs>
        <w:ind w:right="-1" w:firstLine="709"/>
        <w:jc w:val="both"/>
      </w:pPr>
    </w:p>
    <w:p w:rsidR="00E87E85" w:rsidRDefault="00E87E85" w:rsidP="00AA7ED1">
      <w:pPr>
        <w:tabs>
          <w:tab w:val="left" w:pos="709"/>
        </w:tabs>
        <w:ind w:right="-1" w:firstLine="709"/>
        <w:jc w:val="both"/>
      </w:pPr>
      <w:bookmarkStart w:id="0" w:name="_GoBack"/>
      <w:bookmarkEnd w:id="0"/>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651"/>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241C"/>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5ACE"/>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3F6"/>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F5D"/>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87E85"/>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 w:type="character" w:customStyle="1" w:styleId="Gvdemetni20">
    <w:name w:val="Gövde metni (2)_"/>
    <w:link w:val="Gvdemetni21"/>
    <w:locked/>
    <w:rsid w:val="00B95F5D"/>
    <w:rPr>
      <w:sz w:val="21"/>
      <w:szCs w:val="21"/>
      <w:shd w:val="clear" w:color="auto" w:fill="FFFFFF"/>
    </w:rPr>
  </w:style>
  <w:style w:type="paragraph" w:customStyle="1" w:styleId="Gvdemetni21">
    <w:name w:val="Gövde metni (2)"/>
    <w:basedOn w:val="Normal"/>
    <w:link w:val="Gvdemetni20"/>
    <w:rsid w:val="00B95F5D"/>
    <w:pPr>
      <w:shd w:val="clear" w:color="auto" w:fill="FFFFFF"/>
      <w:spacing w:line="235" w:lineRule="exact"/>
      <w:ind w:firstLine="92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930321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437F-D709-4C0E-9F44-5F538AC6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3425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2025-08-14T07:30:00Z</cp:lastPrinted>
  <dcterms:created xsi:type="dcterms:W3CDTF">2025-08-14T07:30:00Z</dcterms:created>
  <dcterms:modified xsi:type="dcterms:W3CDTF">2025-08-14T07:32:00Z</dcterms:modified>
</cp:coreProperties>
</file>