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4F35D0">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4F35D0" w:rsidP="00AA7ED1">
      <w:pPr>
        <w:ind w:right="-1" w:firstLine="708"/>
        <w:jc w:val="both"/>
      </w:pPr>
      <w:r w:rsidRPr="00B20D72">
        <w:t>Kahramankazan İlçesi Satıkadın Mahallesi 222404 ada 1 parselde 1/5000 ve 1/1000 ölçekli imar planı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856AB3">
        <w:t>6</w:t>
      </w:r>
      <w:r w:rsidR="00005846">
        <w:t>.</w:t>
      </w:r>
      <w:r w:rsidR="00CF13DE">
        <w:t>07</w:t>
      </w:r>
      <w:r w:rsidR="00B52587">
        <w:t>.2025</w:t>
      </w:r>
      <w:r w:rsidR="00EC582E" w:rsidRPr="00E35A5A">
        <w:t xml:space="preserve"> tarihli ve </w:t>
      </w:r>
      <w:r w:rsidR="00E90F44">
        <w:t>16</w:t>
      </w:r>
      <w:r>
        <w:t>9</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F35D0" w:rsidRDefault="00EC582E" w:rsidP="004F35D0">
      <w:pPr>
        <w:tabs>
          <w:tab w:val="left" w:pos="9638"/>
        </w:tabs>
        <w:ind w:right="-1" w:firstLine="709"/>
        <w:jc w:val="both"/>
      </w:pPr>
      <w:r w:rsidRPr="00E35A5A">
        <w:t>Konu üzerinde yapılan görüşmelerde;</w:t>
      </w:r>
      <w:r w:rsidR="00896330">
        <w:t xml:space="preserve"> </w:t>
      </w:r>
      <w:r w:rsidR="004F35D0" w:rsidRPr="00C2336B">
        <w:t>Kahramankazan Belediye Başkanlığı İmar ve Şehircilik Müdürlüğünün 20.03.2025 tarihli ve 64004886-2421 sayılı yazısı ile; Kahramankazan İlçesi, Satıkadın Mahallesi 222404 ada 1 no</w:t>
      </w:r>
      <w:r w:rsidR="004F35D0">
        <w:t>.</w:t>
      </w:r>
      <w:r w:rsidR="004F35D0" w:rsidRPr="00C2336B">
        <w:t>lu parsele yönelik, Kahramankazan Belediye Meclisinin 07.02.2025 gün ve 28 sayılı Kararı ile uygun görülen 1/1000 ölçekli Uygulama İmar Planı Değişikliği teklifi</w:t>
      </w:r>
      <w:r w:rsidR="004F35D0">
        <w:t>nin</w:t>
      </w:r>
      <w:r w:rsidR="004F35D0" w:rsidRPr="00C2336B">
        <w:t xml:space="preserve"> ve tavsiye nitelikli 1/5000 ölçekli Nazım İmar Planı Değişikliği Teklifi</w:t>
      </w:r>
      <w:r w:rsidR="004F35D0">
        <w:t>nin</w:t>
      </w:r>
      <w:r w:rsidR="004F35D0" w:rsidRPr="00C2336B">
        <w:t xml:space="preserve">, 5216 sayılı Kanun uyarınca </w:t>
      </w:r>
      <w:r w:rsidR="004F35D0">
        <w:t xml:space="preserve">İmar ve Şehircilik Dairesi </w:t>
      </w:r>
      <w:r w:rsidR="004F35D0" w:rsidRPr="00C2336B">
        <w:t>Başkanlığı</w:t>
      </w:r>
      <w:r w:rsidR="004F35D0">
        <w:t>na</w:t>
      </w:r>
      <w:r w:rsidR="004F35D0" w:rsidRPr="00C2336B">
        <w:t xml:space="preserve"> sunul</w:t>
      </w:r>
      <w:r w:rsidR="004F35D0">
        <w:t>duğu,</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rPr>
          <w:b/>
          <w:bCs/>
        </w:rPr>
        <w:t>Yapılan incelemede;</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rPr>
          <w:b/>
          <w:bCs/>
        </w:rPr>
        <w:t>Teklife Konu Alanın Mülkiyet ve Mevcut İmar Durumunun;</w:t>
      </w:r>
      <w:r w:rsidRPr="00C2336B">
        <w:t> Plan değişiklik  teklifine konu 11.921 m</w:t>
      </w:r>
      <w:r w:rsidRPr="00C2336B">
        <w:rPr>
          <w:vertAlign w:val="superscript"/>
        </w:rPr>
        <w:t>2</w:t>
      </w:r>
      <w:r w:rsidRPr="00C2336B">
        <w:t xml:space="preserve"> büyüklüğündeki 222404 ada 1 parselin Maliye Hazinesi mülkiyetinde olduğu,</w:t>
      </w:r>
      <w:r>
        <w:t xml:space="preserve"> Kahramankazan Belediye Meclisi</w:t>
      </w:r>
      <w:r w:rsidRPr="00C2336B">
        <w:t>nin 10.03.2023.tarih ve 51 sayılı Kararı ile uygun görülen ve Büyükşehir Belediye Meclisinin 11.07.2023 tarih ve 915 sayılı Kararı ile onaylanan Satıkadın Mahallesi 220981 ada 1 ve 2 parsellerin güneyindeki bölge parkı alanına ait 1/5000 ölçekli Nazım İmar Planı değişikliği ile 1/1000 ölçekli uygulama imar planı değişikliği kapsamında pa</w:t>
      </w:r>
      <w:r>
        <w:t>rk alanı kullanımında kaldığı,</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rPr>
          <w:b/>
          <w:bCs/>
        </w:rPr>
        <w:t>Plan teklifi ve Açıklama Raporunda</w:t>
      </w:r>
      <w:r w:rsidRPr="00C2336B">
        <w:t>, Onaylı imar planında park alanı kullanımında olan Satıkadın Mahallesi 222404 ada 1 no</w:t>
      </w:r>
      <w:r>
        <w:t>.</w:t>
      </w:r>
      <w:r w:rsidRPr="00C2336B">
        <w:t>lu parselin; katı atık transfer merkezi amacıyla E:1.50, Yençok:4 kat yapılaşma koşullarına sahip Belediye Hizmet Alanı kullanımına dönüştürülmesi için plan değişikliği teklif</w:t>
      </w:r>
      <w:r>
        <w:t>inin sunulduğunun belirtildiği,</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Planlama alanına ilişkin altyapı kurum görüşü olarak; ASKİ Genel Müdürlüğü Planlama Koordinasyon ve Dış İlişkiler Dairesi Başkanlığı Planlama Şube Müdürlüğü'nün  11.03.2025 tarih ve E.784496 sayılı yazısı ile;</w:t>
      </w:r>
      <w:r>
        <w:t xml:space="preserve"> </w:t>
      </w:r>
      <w:r>
        <w:rPr>
          <w:iCs/>
        </w:rPr>
        <w:t>"...</w:t>
      </w:r>
      <w:r w:rsidRPr="00C2336B">
        <w:rPr>
          <w:iCs/>
        </w:rPr>
        <w:t>bahse konu alanın DSİ'nin yeraltı suyu tahsisine kapalı sahasında kaldığı tespit edilmiştir. Bu nedenle DSİ'den Kurum görüşü alınması ve planlama esnasında mevcutlarımızın korunması hususunda, bilgilerinizi ve gereğini arz ederim."</w:t>
      </w:r>
      <w:r>
        <w:t> denildiği,</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BAŞKENT Doğalgaz Dağıtım Gayrimenkul Yatırım Ortaklığı A.Ş. Etüd Proje Müdürlüğü'nün 21.02.2025 tarih ve E.38132 sayılı yazısı ile; ".</w:t>
      </w:r>
      <w:r w:rsidRPr="00C2336B">
        <w:rPr>
          <w:iCs/>
        </w:rPr>
        <w:t>..Söz konusu parselde herhangi bir doğal gaz hattı bulunmamaktadır.</w:t>
      </w:r>
      <w:r>
        <w:t>" denildiği,</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35D0" w:rsidRPr="002D00A5" w:rsidTr="00C30BA7">
        <w:trPr>
          <w:trHeight w:val="1008"/>
        </w:trPr>
        <w:tc>
          <w:tcPr>
            <w:tcW w:w="3510" w:type="dxa"/>
          </w:tcPr>
          <w:p w:rsidR="004F35D0" w:rsidRPr="002D00A5" w:rsidRDefault="004F35D0" w:rsidP="00C30BA7">
            <w:pPr>
              <w:ind w:right="-1"/>
              <w:jc w:val="center"/>
            </w:pPr>
            <w:r w:rsidRPr="002D00A5">
              <w:t>T.C.</w:t>
            </w:r>
          </w:p>
          <w:p w:rsidR="004F35D0" w:rsidRPr="002D00A5" w:rsidRDefault="004F35D0" w:rsidP="00C30BA7">
            <w:pPr>
              <w:ind w:right="-1"/>
              <w:jc w:val="center"/>
            </w:pPr>
            <w:r w:rsidRPr="002D00A5">
              <w:t>ANKARA BÜYÜKŞEHİR</w:t>
            </w:r>
          </w:p>
          <w:p w:rsidR="004F35D0" w:rsidRPr="002D00A5" w:rsidRDefault="004F35D0" w:rsidP="00C30BA7">
            <w:pPr>
              <w:ind w:right="-1"/>
              <w:jc w:val="center"/>
            </w:pPr>
            <w:r w:rsidRPr="002D00A5">
              <w:t>BELEDİYE MECLİSİ</w:t>
            </w:r>
          </w:p>
        </w:tc>
      </w:tr>
    </w:tbl>
    <w:p w:rsidR="004F35D0" w:rsidRDefault="004F35D0" w:rsidP="004F35D0">
      <w:pPr>
        <w:tabs>
          <w:tab w:val="left" w:pos="1935"/>
          <w:tab w:val="left" w:pos="9356"/>
        </w:tabs>
        <w:ind w:right="-1"/>
        <w:jc w:val="both"/>
      </w:pPr>
    </w:p>
    <w:p w:rsidR="004F35D0" w:rsidRDefault="004F35D0" w:rsidP="004F35D0">
      <w:pPr>
        <w:tabs>
          <w:tab w:val="left" w:pos="1935"/>
          <w:tab w:val="left" w:pos="9356"/>
        </w:tabs>
        <w:ind w:right="-1"/>
        <w:jc w:val="both"/>
      </w:pPr>
    </w:p>
    <w:p w:rsidR="004F35D0" w:rsidRDefault="004F35D0" w:rsidP="004F35D0">
      <w:pPr>
        <w:ind w:right="-1"/>
        <w:jc w:val="both"/>
      </w:pPr>
      <w:r>
        <w:t>Karar No: 1163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F35D0" w:rsidRDefault="004F35D0" w:rsidP="004F35D0">
      <w:pPr>
        <w:tabs>
          <w:tab w:val="left" w:pos="9638"/>
        </w:tabs>
        <w:ind w:right="-1"/>
        <w:jc w:val="center"/>
      </w:pPr>
    </w:p>
    <w:p w:rsidR="004F35D0" w:rsidRDefault="004F35D0" w:rsidP="004F35D0">
      <w:pPr>
        <w:tabs>
          <w:tab w:val="left" w:pos="9638"/>
        </w:tabs>
        <w:ind w:right="-1"/>
        <w:jc w:val="center"/>
      </w:pPr>
    </w:p>
    <w:p w:rsidR="004F35D0" w:rsidRDefault="004F35D0" w:rsidP="004F35D0">
      <w:pPr>
        <w:tabs>
          <w:tab w:val="left" w:pos="9638"/>
        </w:tabs>
        <w:ind w:right="-1"/>
        <w:jc w:val="center"/>
      </w:pPr>
      <w:r>
        <w:t>-2-</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BAŞKENT ELEKTR</w:t>
      </w:r>
      <w:r>
        <w:t>İ</w:t>
      </w:r>
      <w:r w:rsidRPr="00C2336B">
        <w:t>K DA</w:t>
      </w:r>
      <w:r>
        <w:t>Ğ</w:t>
      </w:r>
      <w:r w:rsidRPr="00C2336B">
        <w:t>ITIM A.Ş.'nin 25.02.2025 tarih ve E.9326941168 sayılı yazısı ile; ".</w:t>
      </w:r>
      <w:r w:rsidRPr="00C2336B">
        <w:rPr>
          <w:iCs/>
        </w:rPr>
        <w:t>..Bölgede 2025 yılı için bir yatırım planımız bulunmamakla birlikte, söz konusu parsele yakın durumda bulunan mevcut elektrik dağıtım şebekelerimiz bulunmaktadır. Yapılması planlanan imar Planında parsel yakınında ve içerisinde kalan mevcut dağıtım tesislerimiz göz önünde bulundurulduğu taktirde ve söz konusu belgelerden ileride gelebilecek tahmini enerji ihtiyacına binaen ilave trafo ihtiyacımız bulunmamaktadır. Gelebilecek enerji ihtiyacının karşılanabilmesi Elektrik Piyasası Bağlantı ve Sistem Kullanım Yönetmeliği Madde 10'da belirtilen evraklar ile birlikte fiziksel olarak Yeni Bağlantı Birimimize ya da https://ybp.eedas.com.tr/#/auth/login web sitesi üzerinden başvuru yapabileceğini belirtmek isteriz. Yapılacak çalışmalarda aşağıda belirtilen Elektrik Kuvvetli Akim Tesisleri Yönetmeliği'nde (EKAT) belirtilen mesafelere riayet edilmesi gerekmektedir.</w:t>
      </w:r>
      <w:r>
        <w:t>" Denildiği,</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Ankara Valiliği Çevre, Şehircilik ve İklim Değişikliği İ</w:t>
      </w:r>
      <w:r>
        <w:t>l</w:t>
      </w:r>
      <w:r w:rsidRPr="00C2336B">
        <w:t xml:space="preserve"> Müdürlüğü Başke</w:t>
      </w:r>
      <w:r>
        <w:t>nt Milli Emlak Daire Başkanlığı</w:t>
      </w:r>
      <w:r w:rsidRPr="00C2336B">
        <w:t>nın 17.04.2025 tarih ve E.12242408 sayılı yazısı ile; "</w:t>
      </w:r>
      <w:r w:rsidRPr="00C2336B">
        <w:rPr>
          <w:iCs/>
        </w:rPr>
        <w:t>...yapılacak olan planlama çalışmalarında başta  3194 sayılı İmar Kanunu ve ilgili Yönetmelikleri dikkate alınmak üzere,  Mekâns</w:t>
      </w:r>
      <w:r>
        <w:rPr>
          <w:iCs/>
        </w:rPr>
        <w:t>al Planlar Yapım Yönetmeliği 26’</w:t>
      </w:r>
      <w:r w:rsidRPr="00C2336B">
        <w:rPr>
          <w:iCs/>
        </w:rPr>
        <w:t>ncı maddesi hükümleri çerçevesinde kaldırılan Rekreasyon Alanı için eş değer alan ayılması ve idaremizi (Milli Emlak Daire Başkanlığı) ilgilendiren konularda ilgili diğer mevzuat hükümleri doğrultusunda çalışmalar yapılması ve planlama sürecinin her aşamasından tarafınıza bilgi verilmesi gerektiği hususunda bilgilerinizi ve gereğini rica ederim.</w:t>
      </w:r>
      <w:r w:rsidRPr="00C2336B">
        <w:t>" Denildi</w:t>
      </w:r>
      <w:r>
        <w:t>ği,</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t>Plan notlarının;</w:t>
      </w:r>
    </w:p>
    <w:p w:rsidR="004F35D0" w:rsidRDefault="004F35D0" w:rsidP="004F35D0">
      <w:pPr>
        <w:tabs>
          <w:tab w:val="left" w:pos="9638"/>
        </w:tabs>
        <w:ind w:right="-1" w:firstLine="709"/>
        <w:jc w:val="both"/>
      </w:pPr>
      <w:r w:rsidRPr="00C2336B">
        <w:t xml:space="preserve">"Bu planda belirtilmeyen hususlarda Kahramankazan Belediye Meclisinin </w:t>
      </w:r>
      <w:r>
        <w:t>06</w:t>
      </w:r>
      <w:r w:rsidRPr="00C2336B">
        <w:t>.</w:t>
      </w:r>
      <w:r>
        <w:t>05</w:t>
      </w:r>
      <w:r w:rsidRPr="00C2336B">
        <w:t xml:space="preserve">.2015 tarih ve </w:t>
      </w:r>
      <w:r>
        <w:t>98</w:t>
      </w:r>
      <w:r w:rsidRPr="00C2336B">
        <w:t xml:space="preserve"> sayılı Kararı ile uygun görülerek, Ankara Büyükşehir Belediye Meclisinin 27.11.2015 tarih ve 2443 sayılı Kararı ile onaylanan ilçemiz merkez mahallelerine ait 1/5000 ve 1/1000 ölçekli İmar Planı Revizyonu Plan Notla</w:t>
      </w:r>
      <w:r>
        <w:t>rı geçerlidir." şeklinde olduğu,</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rPr>
          <w:b/>
          <w:bCs/>
        </w:rPr>
        <w:t>Başkanlığımızca yapılan değerlendirmede;</w:t>
      </w:r>
    </w:p>
    <w:p w:rsidR="004F35D0" w:rsidRDefault="004F35D0" w:rsidP="004F35D0">
      <w:pPr>
        <w:tabs>
          <w:tab w:val="left" w:pos="9638"/>
        </w:tabs>
        <w:ind w:right="-1" w:firstLine="709"/>
        <w:jc w:val="both"/>
      </w:pPr>
      <w:r w:rsidRPr="00C2336B">
        <w:t>- Mekânsal Planlar Yapım Yönetmeliği  5. maddesinde, sosyal alty</w:t>
      </w:r>
      <w:r>
        <w:t>apı alanlarının;</w:t>
      </w:r>
    </w:p>
    <w:p w:rsidR="004F35D0" w:rsidRDefault="004F35D0" w:rsidP="004F35D0">
      <w:pPr>
        <w:tabs>
          <w:tab w:val="left" w:pos="9638"/>
        </w:tabs>
        <w:ind w:right="-1" w:firstLine="709"/>
        <w:jc w:val="both"/>
      </w:pPr>
      <w:r w:rsidRPr="00C2336B">
        <w:t>"</w:t>
      </w:r>
      <w:r w:rsidRPr="00C2336B">
        <w:rPr>
          <w:b/>
          <w:bCs/>
        </w:rPr>
        <w:t>Madde 5</w:t>
      </w:r>
      <w:r w:rsidRPr="00C2336B">
        <w:rPr>
          <w:iCs/>
        </w:rPr>
        <w:t>- i) Sosyal altyapı alanları: Birey ve toplumun kültürel, sosyal ve rekreatif ihtiyaçlarının karşılanması ve sağlıklı bir çevre ile yaşam kalitelerinin artırılmasına yönelik kamu veya özel sektör tarafından yapılan eğitim, sağlık, dini, kültürel ve idari tesisler, açık ve kapalı spor tesisleri ile</w:t>
      </w:r>
      <w:r w:rsidRPr="00C2336B">
        <w:rPr>
          <w:b/>
          <w:bCs/>
        </w:rPr>
        <w:t> park</w:t>
      </w:r>
      <w:r w:rsidRPr="00C2336B">
        <w:rPr>
          <w:iCs/>
        </w:rPr>
        <w:t>, çocuk bahçesi, oyun alanı, meydan, rekreasyon alanı gibi </w:t>
      </w:r>
      <w:r w:rsidRPr="00A752F1">
        <w:rPr>
          <w:b/>
          <w:bCs/>
          <w:u w:val="single"/>
        </w:rPr>
        <w:t>açık ve yeşil alanlara</w:t>
      </w:r>
      <w:r w:rsidRPr="00A752F1">
        <w:rPr>
          <w:iCs/>
          <w:u w:val="single"/>
        </w:rPr>
        <w:t> </w:t>
      </w:r>
      <w:r w:rsidRPr="00C2336B">
        <w:rPr>
          <w:iCs/>
        </w:rPr>
        <w:t>verilen genel isimdir.” </w:t>
      </w:r>
      <w:r>
        <w:t>şeklinde tanımlandığı,</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 Yine Mekânsal Planlar Yapım Yönetmeliği imar planı değişiklikleri başlıklı</w:t>
      </w:r>
      <w:r>
        <w:t xml:space="preserve"> 26. Maddesinde</w:t>
      </w:r>
    </w:p>
    <w:p w:rsidR="004F35D0" w:rsidRDefault="004F35D0" w:rsidP="004F35D0">
      <w:pPr>
        <w:tabs>
          <w:tab w:val="left" w:pos="9638"/>
        </w:tabs>
        <w:ind w:right="-1" w:firstLine="709"/>
        <w:jc w:val="both"/>
      </w:pPr>
      <w:r w:rsidRPr="00C2336B">
        <w:t>"</w:t>
      </w:r>
      <w:r w:rsidRPr="00C2336B">
        <w:rPr>
          <w:b/>
          <w:bCs/>
        </w:rPr>
        <w:t>Madde 26</w:t>
      </w:r>
      <w:r w:rsidRPr="00C2336B">
        <w:t> - (2) </w:t>
      </w:r>
      <w:r w:rsidRPr="00C2336B">
        <w:rPr>
          <w:iCs/>
        </w:rPr>
        <w:t>İmar planlarında sosyal ve teknik altyapı hizmetlerinin iyileştirilmesi esastır. Yürürlükteki imar planlarında öngörülen sosyal ve teknik altyapı standartlarını düşüren plan değişikliği yapılamaz.</w:t>
      </w:r>
    </w:p>
    <w:p w:rsidR="004F35D0" w:rsidRDefault="004F35D0" w:rsidP="004F35D0">
      <w:pPr>
        <w:tabs>
          <w:tab w:val="left" w:pos="9638"/>
        </w:tabs>
        <w:ind w:right="-1" w:firstLine="709"/>
        <w:jc w:val="both"/>
        <w:rPr>
          <w:iCs/>
        </w:rPr>
      </w:pPr>
    </w:p>
    <w:p w:rsidR="004F35D0" w:rsidRDefault="004F35D0" w:rsidP="004F35D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35D0" w:rsidRPr="002D00A5" w:rsidTr="00C30BA7">
        <w:trPr>
          <w:trHeight w:val="1008"/>
        </w:trPr>
        <w:tc>
          <w:tcPr>
            <w:tcW w:w="3510" w:type="dxa"/>
          </w:tcPr>
          <w:p w:rsidR="004F35D0" w:rsidRPr="002D00A5" w:rsidRDefault="004F35D0" w:rsidP="00C30BA7">
            <w:pPr>
              <w:ind w:right="-1"/>
              <w:jc w:val="center"/>
            </w:pPr>
            <w:r w:rsidRPr="002D00A5">
              <w:t>T.C.</w:t>
            </w:r>
          </w:p>
          <w:p w:rsidR="004F35D0" w:rsidRPr="002D00A5" w:rsidRDefault="004F35D0" w:rsidP="00C30BA7">
            <w:pPr>
              <w:ind w:right="-1"/>
              <w:jc w:val="center"/>
            </w:pPr>
            <w:r w:rsidRPr="002D00A5">
              <w:t>ANKARA BÜYÜKŞEHİR</w:t>
            </w:r>
          </w:p>
          <w:p w:rsidR="004F35D0" w:rsidRPr="002D00A5" w:rsidRDefault="004F35D0" w:rsidP="00C30BA7">
            <w:pPr>
              <w:ind w:right="-1"/>
              <w:jc w:val="center"/>
            </w:pPr>
            <w:r w:rsidRPr="002D00A5">
              <w:t>BELEDİYE MECLİSİ</w:t>
            </w:r>
          </w:p>
        </w:tc>
      </w:tr>
    </w:tbl>
    <w:p w:rsidR="004F35D0" w:rsidRDefault="004F35D0" w:rsidP="004F35D0">
      <w:pPr>
        <w:tabs>
          <w:tab w:val="left" w:pos="1935"/>
          <w:tab w:val="left" w:pos="9356"/>
        </w:tabs>
        <w:ind w:right="-1"/>
        <w:jc w:val="both"/>
      </w:pPr>
    </w:p>
    <w:p w:rsidR="004F35D0" w:rsidRDefault="004F35D0" w:rsidP="004F35D0">
      <w:pPr>
        <w:tabs>
          <w:tab w:val="left" w:pos="1935"/>
          <w:tab w:val="left" w:pos="9356"/>
        </w:tabs>
        <w:ind w:right="-1"/>
        <w:jc w:val="both"/>
      </w:pPr>
    </w:p>
    <w:p w:rsidR="004F35D0" w:rsidRDefault="004F35D0" w:rsidP="004F35D0">
      <w:pPr>
        <w:ind w:right="-1"/>
        <w:jc w:val="both"/>
      </w:pPr>
      <w:r>
        <w:t>Karar No: 1163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F35D0" w:rsidRDefault="004F35D0" w:rsidP="004F35D0">
      <w:pPr>
        <w:tabs>
          <w:tab w:val="left" w:pos="9638"/>
        </w:tabs>
        <w:ind w:right="-1"/>
        <w:jc w:val="center"/>
        <w:rPr>
          <w:iCs/>
        </w:rPr>
      </w:pPr>
    </w:p>
    <w:p w:rsidR="004F35D0" w:rsidRDefault="004F35D0" w:rsidP="004F35D0">
      <w:pPr>
        <w:tabs>
          <w:tab w:val="left" w:pos="9638"/>
        </w:tabs>
        <w:ind w:right="-1"/>
        <w:jc w:val="center"/>
        <w:rPr>
          <w:iCs/>
        </w:rPr>
      </w:pPr>
    </w:p>
    <w:p w:rsidR="004F35D0" w:rsidRDefault="004F35D0" w:rsidP="004F35D0">
      <w:pPr>
        <w:tabs>
          <w:tab w:val="left" w:pos="9638"/>
        </w:tabs>
        <w:ind w:right="-1"/>
        <w:jc w:val="center"/>
        <w:rPr>
          <w:iCs/>
        </w:rPr>
      </w:pPr>
      <w:r>
        <w:rPr>
          <w:iCs/>
        </w:rPr>
        <w:t>-3-</w:t>
      </w:r>
    </w:p>
    <w:p w:rsidR="004F35D0" w:rsidRDefault="004F35D0" w:rsidP="004F35D0">
      <w:pPr>
        <w:tabs>
          <w:tab w:val="left" w:pos="9638"/>
        </w:tabs>
        <w:ind w:right="-1"/>
        <w:jc w:val="center"/>
        <w:rPr>
          <w:iCs/>
        </w:rPr>
      </w:pPr>
    </w:p>
    <w:p w:rsidR="004F35D0" w:rsidRDefault="004F35D0" w:rsidP="004F35D0">
      <w:pPr>
        <w:tabs>
          <w:tab w:val="left" w:pos="9638"/>
        </w:tabs>
        <w:ind w:right="-1"/>
        <w:jc w:val="center"/>
        <w:rPr>
          <w:iCs/>
        </w:rPr>
      </w:pPr>
    </w:p>
    <w:p w:rsidR="004F35D0" w:rsidRDefault="004F35D0" w:rsidP="004F35D0">
      <w:pPr>
        <w:tabs>
          <w:tab w:val="left" w:pos="9638"/>
        </w:tabs>
        <w:ind w:right="-1" w:firstLine="709"/>
        <w:jc w:val="both"/>
        <w:rPr>
          <w:iCs/>
        </w:rPr>
      </w:pPr>
    </w:p>
    <w:p w:rsidR="004F35D0" w:rsidRDefault="004F35D0" w:rsidP="004F35D0">
      <w:pPr>
        <w:tabs>
          <w:tab w:val="left" w:pos="9638"/>
        </w:tabs>
        <w:ind w:right="-1" w:firstLine="709"/>
        <w:jc w:val="both"/>
      </w:pPr>
      <w:r w:rsidRPr="00C2336B">
        <w:rPr>
          <w:iCs/>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4F35D0" w:rsidRDefault="004F35D0" w:rsidP="004F35D0">
      <w:pPr>
        <w:tabs>
          <w:tab w:val="left" w:pos="9638"/>
        </w:tabs>
        <w:ind w:right="-1" w:firstLine="709"/>
        <w:jc w:val="both"/>
      </w:pPr>
      <w:r w:rsidRPr="00C2336B">
        <w:rPr>
          <w:b/>
          <w:bCs/>
        </w:rPr>
        <w:t>a)</w:t>
      </w:r>
      <w:r w:rsidRPr="00C2336B">
        <w:rPr>
          <w:iCs/>
        </w:rPr>
        <w:t> İmar planındaki durumu değişecek olan sosyal ve teknik altyapı alanındaki tesisi gerçekleştirecek ilgili yatırımcı Bakanlık veya kuruluşların görüşü alınır.</w:t>
      </w:r>
    </w:p>
    <w:p w:rsidR="004F35D0" w:rsidRDefault="004F35D0" w:rsidP="004F35D0">
      <w:pPr>
        <w:tabs>
          <w:tab w:val="left" w:pos="9638"/>
        </w:tabs>
        <w:ind w:right="-1" w:firstLine="709"/>
        <w:jc w:val="both"/>
      </w:pPr>
      <w:r w:rsidRPr="00C2336B">
        <w:rPr>
          <w:b/>
          <w:iCs/>
        </w:rPr>
        <w:t>b)</w:t>
      </w:r>
      <w:r w:rsidRPr="00C2336B">
        <w:rPr>
          <w:b/>
          <w:bCs/>
        </w:rPr>
        <w:t> </w:t>
      </w:r>
      <w:r w:rsidRPr="00C2336B">
        <w:rPr>
          <w:iCs/>
        </w:rPr>
        <w:t>İmar planlarında bulunan sosyal ve teknik altyapı alanlarının kaldırılması, küçültülmesi veya yerinin değiştirilmesine dair plan değişiklikleri zorunluluk olmadıkça yapılmaz. Zorunlu hallerde böyle bir değişiklik yapılabilmesi için: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r w:rsidRPr="00C2336B">
        <w:rPr>
          <w:b/>
          <w:bCs/>
        </w:rPr>
        <w:t>” </w:t>
      </w:r>
      <w:r>
        <w:t>hükümlerinin yer aldığı,</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 Park Alanı kullanım kararının, Mekânsal Planlar Yapım Yönetmeliği eki plan gösterimlerinde "Açık ve Yeşil Alanlar" başlığı altında yer aldığı, mevcut imar planında Mekânsal Planlar Yapım Yönetmeliğindeki tanımı uyarınca sosyal altyapı alanı niteliğindeki Park Alanı kullanım amacına ayrılan alan için eşdeğer alan ayrılmaksızın, bu alanın farklı bir kullanım amacına ayrılması durumunun, Mekânsal Planlar Yapım Yönetmeliği 26/1, 2 ve 3. maddeleri ile uyumlu olmadığı ve bu yönde yapılacak olan imar planı değişikliğinin açık ve yeşil alan vasıflı sosyal altyapı alanların</w:t>
      </w:r>
      <w:r>
        <w:t>ı azaltıcı nitelikte olacağı,</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 Mekânsal Planlar Yapım Yönetmeliğinin 26/7 maddesinde "Yoğunluk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 hükmünün yer aldığı, park alanı kullanımı yerine yapılaşmaya konu olan Belediye Hizmet Alanı kullanım kararı getirilmesinin yoğunluk arttırıcı nitelikte bir değişiklik olduğundan, anılan yönetmelik maddesi gereğince kentsel teknik altyapı etki değerlendirmesi raporu/analizi hazırlanması ya</w:t>
      </w:r>
      <w:r>
        <w:t xml:space="preserve"> </w:t>
      </w:r>
      <w:r w:rsidRPr="00C2336B">
        <w:t>da hazırlattırılması gerektiği, bu bağlamda hazırlanması gereken kentsel teknik alt yapı ve etki değerlendirme raporunun tekl</w:t>
      </w:r>
      <w:r>
        <w:t>if plan dosyasında bulunmadığı,</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-ASKİ Genel Müdürlüğü Planlama Koordinasyon ve Dış İlişkiler Dairesi Baş</w:t>
      </w:r>
      <w:r>
        <w:t>kanlığı Planlama Şube Müdürlüğü</w:t>
      </w:r>
      <w:r w:rsidRPr="00C2336B">
        <w:t>nün  11.03.2025 tarih ve E.784496 sayılı yazısı ile;</w:t>
      </w:r>
      <w:r w:rsidRPr="00C2336B">
        <w:rPr>
          <w:iCs/>
        </w:rPr>
        <w:t>​</w:t>
      </w:r>
      <w:r>
        <w:rPr>
          <w:iCs/>
        </w:rPr>
        <w:t xml:space="preserve"> </w:t>
      </w:r>
      <w:r w:rsidRPr="00C2336B">
        <w:t>söz konusu alanın DSİ'nin yeraltı suyu tahsisine kapalı sahasında kaldığının tespit edildiği bu nedenle DSİ'den Kurum görüşü alınması gerektiğinin bildirildiği ancak teklif dosyasında DSİ'den alınan kurum görüşünün bulunmadığı</w:t>
      </w:r>
      <w:r>
        <w:t>,</w:t>
      </w: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p>
    <w:p w:rsidR="004F35D0" w:rsidRDefault="004F35D0" w:rsidP="004F35D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35D0" w:rsidRPr="002D00A5" w:rsidTr="00C30BA7">
        <w:trPr>
          <w:trHeight w:val="1008"/>
        </w:trPr>
        <w:tc>
          <w:tcPr>
            <w:tcW w:w="3510" w:type="dxa"/>
          </w:tcPr>
          <w:p w:rsidR="004F35D0" w:rsidRPr="002D00A5" w:rsidRDefault="004F35D0" w:rsidP="00C30BA7">
            <w:pPr>
              <w:ind w:right="-1"/>
              <w:jc w:val="center"/>
            </w:pPr>
            <w:r w:rsidRPr="002D00A5">
              <w:t>T.C.</w:t>
            </w:r>
          </w:p>
          <w:p w:rsidR="004F35D0" w:rsidRPr="002D00A5" w:rsidRDefault="004F35D0" w:rsidP="00C30BA7">
            <w:pPr>
              <w:ind w:right="-1"/>
              <w:jc w:val="center"/>
            </w:pPr>
            <w:r w:rsidRPr="002D00A5">
              <w:t>ANKARA BÜYÜKŞEHİR</w:t>
            </w:r>
          </w:p>
          <w:p w:rsidR="004F35D0" w:rsidRPr="002D00A5" w:rsidRDefault="004F35D0" w:rsidP="00C30BA7">
            <w:pPr>
              <w:ind w:right="-1"/>
              <w:jc w:val="center"/>
            </w:pPr>
            <w:r w:rsidRPr="002D00A5">
              <w:t>BELEDİYE MECLİSİ</w:t>
            </w:r>
          </w:p>
        </w:tc>
      </w:tr>
    </w:tbl>
    <w:p w:rsidR="004F35D0" w:rsidRDefault="004F35D0" w:rsidP="004F35D0">
      <w:pPr>
        <w:tabs>
          <w:tab w:val="left" w:pos="1935"/>
          <w:tab w:val="left" w:pos="9356"/>
        </w:tabs>
        <w:ind w:right="-1"/>
        <w:jc w:val="both"/>
      </w:pPr>
    </w:p>
    <w:p w:rsidR="004F35D0" w:rsidRDefault="004F35D0" w:rsidP="004F35D0">
      <w:pPr>
        <w:tabs>
          <w:tab w:val="left" w:pos="1935"/>
          <w:tab w:val="left" w:pos="9356"/>
        </w:tabs>
        <w:ind w:right="-1"/>
        <w:jc w:val="both"/>
      </w:pPr>
    </w:p>
    <w:p w:rsidR="004F35D0" w:rsidRDefault="004F35D0" w:rsidP="004F35D0">
      <w:pPr>
        <w:ind w:right="-1"/>
        <w:jc w:val="both"/>
      </w:pPr>
      <w:r>
        <w:t>Karar No: 1163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F35D0" w:rsidRDefault="004F35D0" w:rsidP="004F35D0">
      <w:pPr>
        <w:tabs>
          <w:tab w:val="left" w:pos="9638"/>
        </w:tabs>
        <w:ind w:right="-1"/>
        <w:jc w:val="center"/>
      </w:pPr>
    </w:p>
    <w:p w:rsidR="004F35D0" w:rsidRDefault="004F35D0" w:rsidP="004F35D0">
      <w:pPr>
        <w:tabs>
          <w:tab w:val="left" w:pos="9638"/>
        </w:tabs>
        <w:ind w:right="-1"/>
        <w:jc w:val="center"/>
      </w:pPr>
    </w:p>
    <w:p w:rsidR="004F35D0" w:rsidRDefault="004F35D0" w:rsidP="004F35D0">
      <w:pPr>
        <w:tabs>
          <w:tab w:val="left" w:pos="9638"/>
        </w:tabs>
        <w:ind w:right="-1"/>
        <w:jc w:val="center"/>
      </w:pPr>
      <w:r>
        <w:t>-4-</w:t>
      </w:r>
    </w:p>
    <w:p w:rsidR="004F35D0" w:rsidRDefault="004F35D0" w:rsidP="004F35D0">
      <w:pPr>
        <w:tabs>
          <w:tab w:val="left" w:pos="9638"/>
        </w:tabs>
        <w:ind w:right="-1"/>
        <w:jc w:val="center"/>
      </w:pPr>
    </w:p>
    <w:p w:rsidR="004F35D0" w:rsidRDefault="004F35D0" w:rsidP="004F35D0">
      <w:pPr>
        <w:tabs>
          <w:tab w:val="left" w:pos="9638"/>
        </w:tabs>
        <w:ind w:right="-1"/>
        <w:jc w:val="center"/>
      </w:pPr>
      <w:bookmarkStart w:id="0" w:name="_GoBack"/>
      <w:bookmarkEnd w:id="0"/>
    </w:p>
    <w:p w:rsidR="004F35D0" w:rsidRDefault="004F35D0" w:rsidP="004F35D0">
      <w:pPr>
        <w:tabs>
          <w:tab w:val="left" w:pos="9638"/>
        </w:tabs>
        <w:ind w:right="-1" w:firstLine="709"/>
        <w:jc w:val="both"/>
      </w:pPr>
    </w:p>
    <w:p w:rsidR="004F35D0" w:rsidRDefault="004F35D0" w:rsidP="004F35D0">
      <w:pPr>
        <w:tabs>
          <w:tab w:val="left" w:pos="9638"/>
        </w:tabs>
        <w:ind w:right="-1" w:firstLine="709"/>
        <w:jc w:val="both"/>
      </w:pPr>
      <w:r w:rsidRPr="00C2336B">
        <w:t>-Yazımız ekinde sunulan uydu fotoğrafından da anlaşılacağı üzere; teklife konu alanda yetişmiş ağaçların bulunduğu, ağaç dokusun</w:t>
      </w:r>
      <w:r>
        <w:t>un korunmasının uygun olacağı, </w:t>
      </w:r>
      <w:r w:rsidRPr="00C2336B">
        <w:t>imar planı değişiklik teklifine yönelik Belediyemiz Meclisince bir karar alınması gerektiğ</w:t>
      </w:r>
      <w:r>
        <w:t>i görüş ve sonucuna varıldığı,</w:t>
      </w:r>
    </w:p>
    <w:p w:rsidR="004F35D0" w:rsidRDefault="004F35D0" w:rsidP="004F35D0">
      <w:pPr>
        <w:tabs>
          <w:tab w:val="left" w:pos="9638"/>
        </w:tabs>
        <w:ind w:right="-1" w:firstLine="709"/>
        <w:jc w:val="both"/>
      </w:pPr>
    </w:p>
    <w:p w:rsidR="002C380C" w:rsidRDefault="004F35D0" w:rsidP="004F35D0">
      <w:pPr>
        <w:tabs>
          <w:tab w:val="left" w:pos="9638"/>
        </w:tabs>
        <w:ind w:right="-1" w:firstLine="709"/>
        <w:jc w:val="both"/>
      </w:pPr>
      <w:r>
        <w:t>Hususları tespit edilmiş olup, Kahramankazan İlçesi</w:t>
      </w:r>
      <w:r w:rsidRPr="00C2336B">
        <w:t xml:space="preserve"> Satıkadın Mahallesi 222404 ada 1 </w:t>
      </w:r>
      <w:r>
        <w:t>parselde</w:t>
      </w:r>
      <w:r w:rsidRPr="00C2336B">
        <w:t xml:space="preserve"> 1/1000 ölçekli uygulama imar planı değişikliği ve tavsiye nitelikli 1/5000 ölçekli nazım imar planı değişikliği tekliflerinin</w:t>
      </w:r>
      <w:r>
        <w:t xml:space="preserve">, eşdeğer alan ayrılmaması, DSİ görüşü alınmamış olması ve parsel üzerindeki mevcut yetişmiş ağaçlar nedeniyle, tekrar değerlendirilmek üzere </w:t>
      </w:r>
      <w:r w:rsidRPr="00E6102B">
        <w:t>“</w:t>
      </w:r>
      <w:r>
        <w:t>İlçesine İadesi</w:t>
      </w:r>
      <w:r w:rsidRPr="00E6102B">
        <w:t>”</w:t>
      </w:r>
      <w: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608B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07A69-4AF1-4739-BA64-4E994636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8723</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2025-08-13T08:03:00Z</dcterms:created>
  <dcterms:modified xsi:type="dcterms:W3CDTF">2025-08-13T08:03:00Z</dcterms:modified>
</cp:coreProperties>
</file>