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62BD1" w:rsidRDefault="00B23ABD" w:rsidP="00562BD1">
      <w:pPr>
        <w:ind w:right="-1"/>
        <w:jc w:val="both"/>
      </w:pPr>
      <w:r>
        <w:t xml:space="preserve">Karar No: </w:t>
      </w:r>
      <w:r w:rsidR="00EA1B1B">
        <w:t>1010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B30A30" w:rsidRDefault="00B30A30" w:rsidP="00AA7ED1">
      <w:pPr>
        <w:tabs>
          <w:tab w:val="left" w:pos="9356"/>
        </w:tabs>
        <w:ind w:right="-1"/>
        <w:jc w:val="both"/>
      </w:pPr>
    </w:p>
    <w:p w:rsidR="00562BD1" w:rsidRDefault="005C0890" w:rsidP="0028089D">
      <w:pPr>
        <w:ind w:right="-1"/>
        <w:jc w:val="center"/>
      </w:pPr>
      <w:r w:rsidRPr="002D00A5">
        <w:t>K A R A R</w:t>
      </w:r>
    </w:p>
    <w:p w:rsidR="00C16E86" w:rsidRDefault="00C16E86" w:rsidP="00AA7ED1">
      <w:pPr>
        <w:ind w:right="-1"/>
      </w:pPr>
    </w:p>
    <w:p w:rsidR="00EC582E" w:rsidRDefault="00EA1B1B" w:rsidP="00AA7ED1">
      <w:pPr>
        <w:ind w:right="-1" w:firstLine="708"/>
        <w:jc w:val="both"/>
      </w:pPr>
      <w:r w:rsidRPr="000074F3">
        <w:t>Çankaya İlçesi Barbaros, Metin Oktay, Umut, Bayraktar, Murat ve Büyük Esat Mahallelerinde yol boyu ticaret kullanımına yönelik 1/3000 ölçekli uygulama imar plan değişikliğine ilişkin</w:t>
      </w:r>
      <w:r>
        <w:t xml:space="preserve"> </w:t>
      </w:r>
      <w:r w:rsidR="00005846" w:rsidRPr="00A35AF8">
        <w:t>İmar ve Bayındırlık</w:t>
      </w:r>
      <w:r w:rsidR="00A574C9" w:rsidRPr="007F325F">
        <w:t xml:space="preserve"> Komisyonu</w:t>
      </w:r>
      <w:r w:rsidR="00005846">
        <w:t xml:space="preserve">nun </w:t>
      </w:r>
      <w:r>
        <w:t>20</w:t>
      </w:r>
      <w:r w:rsidR="00005846">
        <w:t>.</w:t>
      </w:r>
      <w:r w:rsidR="00B23ABD">
        <w:t>06</w:t>
      </w:r>
      <w:r w:rsidR="00B52587">
        <w:t>.2025</w:t>
      </w:r>
      <w:r w:rsidR="00EC582E" w:rsidRPr="00E35A5A">
        <w:t xml:space="preserve"> tarihli ve </w:t>
      </w:r>
      <w:r>
        <w:t xml:space="preserve">127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A1B1B" w:rsidRDefault="00EC582E" w:rsidP="00EA1B1B">
      <w:pPr>
        <w:tabs>
          <w:tab w:val="left" w:pos="0"/>
        </w:tabs>
        <w:ind w:right="-1" w:firstLine="709"/>
        <w:jc w:val="both"/>
      </w:pPr>
      <w:r w:rsidRPr="00E35A5A">
        <w:t>Konu üzerinde yapılan görüşmelerde;</w:t>
      </w:r>
      <w:r w:rsidR="00896330">
        <w:t xml:space="preserve"> </w:t>
      </w:r>
      <w:r w:rsidR="00EA1B1B" w:rsidRPr="00432E6C">
        <w:t xml:space="preserve">Çankaya Belediyesi Yazı İşleri Müdürlüğünün 11.02.2025 tarihli ve 94628780-050.04.01.01-E.1264508 (E.828665) sayılı yazısı ekinde; Çankaya Belediye  Meclisinin 05.02.2025 gün ve 69  sayılı  Kararı ile  uygun  görülen "Çankaya  İlçesi, Barbaros, Metin  Oktay, Umut, Bayraktar, Murat, </w:t>
      </w:r>
      <w:proofErr w:type="spellStart"/>
      <w:r w:rsidR="00EA1B1B" w:rsidRPr="00432E6C">
        <w:t>Büyükesat</w:t>
      </w:r>
      <w:proofErr w:type="spellEnd"/>
      <w:r w:rsidR="00EA1B1B" w:rsidRPr="00432E6C">
        <w:t xml:space="preserve"> Mahallelerinde yer  alan  bazı  caddeler  üzerinden  cephe  alan  konut  parsellerinin  zemin  katlarında  ticaret  faaliyeti  yapılabilmesi  için, söz konusu caddelerde yönetmeliğin 19.f.1 maddesinde açıklandığı şekilde yol boyu ticaret kullanımı yapılabilecek  olarak düzenlenmesine ilişkin  1/3000 ölçekli </w:t>
      </w:r>
      <w:proofErr w:type="spellStart"/>
      <w:r w:rsidR="00EA1B1B" w:rsidRPr="00432E6C">
        <w:t>çalışma"</w:t>
      </w:r>
      <w:r w:rsidR="00EA1B1B">
        <w:t>nın</w:t>
      </w:r>
      <w:proofErr w:type="spellEnd"/>
      <w:r w:rsidR="00EA1B1B" w:rsidRPr="00432E6C">
        <w:t xml:space="preserve">  5216  sayılı  Kanunun  ilgili  maddeleri  uyarınca  </w:t>
      </w:r>
      <w:r w:rsidR="00EA1B1B">
        <w:t xml:space="preserve">İmar ve Şehircilik Dairesi </w:t>
      </w:r>
      <w:r w:rsidR="00EA1B1B" w:rsidRPr="00432E6C">
        <w:t>Başkanlığı</w:t>
      </w:r>
      <w:r w:rsidR="00EA1B1B">
        <w:t>na</w:t>
      </w:r>
      <w:r w:rsidR="00EA1B1B" w:rsidRPr="00432E6C">
        <w:t xml:space="preserve">  sunul</w:t>
      </w:r>
      <w:r w:rsidR="00EA1B1B">
        <w:t>duğu,</w:t>
      </w:r>
    </w:p>
    <w:p w:rsidR="00EA1B1B" w:rsidRDefault="00EA1B1B" w:rsidP="00EA1B1B">
      <w:pPr>
        <w:tabs>
          <w:tab w:val="left" w:pos="0"/>
        </w:tabs>
        <w:ind w:right="-1" w:firstLine="709"/>
        <w:jc w:val="both"/>
      </w:pPr>
    </w:p>
    <w:p w:rsidR="00EA1B1B" w:rsidRPr="00432E6C" w:rsidRDefault="00EA1B1B" w:rsidP="00EA1B1B">
      <w:pPr>
        <w:tabs>
          <w:tab w:val="left" w:pos="0"/>
        </w:tabs>
        <w:ind w:right="-1" w:firstLine="709"/>
        <w:jc w:val="both"/>
        <w:rPr>
          <w:b/>
        </w:rPr>
      </w:pPr>
      <w:r w:rsidRPr="00432E6C">
        <w:rPr>
          <w:b/>
        </w:rPr>
        <w:t>Yapılan incelemede;</w:t>
      </w:r>
    </w:p>
    <w:p w:rsidR="00EA1B1B" w:rsidRDefault="00EA1B1B" w:rsidP="00EA1B1B">
      <w:pPr>
        <w:tabs>
          <w:tab w:val="left" w:pos="0"/>
        </w:tabs>
        <w:ind w:right="-1" w:firstLine="709"/>
        <w:jc w:val="both"/>
      </w:pPr>
      <w:r w:rsidRPr="00432E6C">
        <w:rPr>
          <w:b/>
        </w:rPr>
        <w:t>Teklife konu alanın mülkiyet ve mevcut imar durumu;</w:t>
      </w:r>
      <w:r w:rsidRPr="00432E6C">
        <w:t xml:space="preserve"> Çankaya İlçesi Barbaros, Metin Oktay, Umut, Bayraktar, Murat, </w:t>
      </w:r>
      <w:proofErr w:type="spellStart"/>
      <w:r w:rsidRPr="00432E6C">
        <w:t>Büyükesat</w:t>
      </w:r>
      <w:proofErr w:type="spellEnd"/>
      <w:r w:rsidRPr="00432E6C">
        <w:t xml:space="preserve"> Mahallelerini kapsayan çalışma alanının Bölge Kat Nizamı planları ile oluşturulduğu, bu alanların "</w:t>
      </w:r>
      <w:proofErr w:type="spellStart"/>
      <w:r w:rsidRPr="00432E6C">
        <w:t>Herman</w:t>
      </w:r>
      <w:proofErr w:type="spellEnd"/>
      <w:r w:rsidRPr="00432E6C">
        <w:t xml:space="preserve"> </w:t>
      </w:r>
      <w:proofErr w:type="spellStart"/>
      <w:r w:rsidRPr="00432E6C">
        <w:t>Jansen</w:t>
      </w:r>
      <w:proofErr w:type="spellEnd"/>
      <w:r w:rsidRPr="00432E6C">
        <w:t xml:space="preserve">" ve "Yücel </w:t>
      </w:r>
      <w:proofErr w:type="spellStart"/>
      <w:r w:rsidRPr="00432E6C">
        <w:t>Uybadin</w:t>
      </w:r>
      <w:proofErr w:type="spellEnd"/>
      <w:r w:rsidRPr="00432E6C">
        <w:t xml:space="preserve">" imar planları ile ıslah imar planları kapsamında ayrıntılı kullanım kararları getirilmemiş; yapılaşma ile ilgili koşulların genellikle kat sayısı ve cephe hattı ile belirlendiği, bunun dışında diğer yapılanma şartlarında  yürürlükteki  yönetmelik hükümlerinin geçerli alanlar olduğu, arazi kullanım çalışmalarında, Barbaros, Metin Oktay, Umut, Bayraktar, Murat, </w:t>
      </w:r>
      <w:proofErr w:type="spellStart"/>
      <w:r w:rsidRPr="00432E6C">
        <w:t>Büyükesat</w:t>
      </w:r>
      <w:proofErr w:type="spellEnd"/>
      <w:r w:rsidRPr="00432E6C">
        <w:t xml:space="preserve"> Mahalleleri sınırlarında  bir kısım cadde ve sokaklar üzerinde yer alan konut parsellerinin bir bölümünde, zemin katlarında ticaret faaliyetinin de</w:t>
      </w:r>
      <w:r>
        <w:t>vam ettiği,</w:t>
      </w:r>
    </w:p>
    <w:p w:rsidR="00EA1B1B" w:rsidRDefault="00EA1B1B" w:rsidP="00EA1B1B">
      <w:pPr>
        <w:tabs>
          <w:tab w:val="left" w:pos="0"/>
        </w:tabs>
        <w:ind w:right="-1" w:firstLine="709"/>
        <w:jc w:val="both"/>
      </w:pPr>
    </w:p>
    <w:p w:rsidR="00EA1B1B" w:rsidRDefault="00EA1B1B" w:rsidP="00EA1B1B">
      <w:pPr>
        <w:tabs>
          <w:tab w:val="left" w:pos="0"/>
        </w:tabs>
        <w:ind w:right="-1" w:firstLine="709"/>
        <w:jc w:val="both"/>
      </w:pPr>
      <w:r w:rsidRPr="00432E6C">
        <w:rPr>
          <w:b/>
        </w:rPr>
        <w:t>Çankaya Belediye Meclisi'nin 05.02.2025 gün ve 69 sayılı Kararı ile uygun görülen 1/3000 Ölçekli Teklifte;</w:t>
      </w:r>
      <w:r>
        <w:t xml:space="preserve"> 03.07.2017 tarihinde 30113 sayılı Resmi </w:t>
      </w:r>
      <w:proofErr w:type="spellStart"/>
      <w:r>
        <w:t>Gazete’de</w:t>
      </w:r>
      <w:proofErr w:type="spellEnd"/>
      <w:r>
        <w:t xml:space="preserve"> yayımlanarak yürürlüğe giren Planlı Alanlar İmar Yönetmeliğinin ve 08.06.2018 tarihinde yürürlüğe giren Ankara Büyükşehir Belediyesi İmar Yönetmeliğinin 19.f.1. maddesinin;</w:t>
      </w:r>
    </w:p>
    <w:p w:rsidR="00EA1B1B" w:rsidRDefault="00EA1B1B" w:rsidP="00EA1B1B">
      <w:pPr>
        <w:tabs>
          <w:tab w:val="left" w:pos="0"/>
        </w:tabs>
        <w:ind w:right="-1" w:firstLine="709"/>
        <w:jc w:val="both"/>
      </w:pPr>
    </w:p>
    <w:p w:rsidR="00EA1B1B" w:rsidRDefault="00EA1B1B" w:rsidP="00EA1B1B">
      <w:pPr>
        <w:tabs>
          <w:tab w:val="left" w:pos="0"/>
        </w:tabs>
        <w:ind w:right="-1" w:firstLine="709"/>
        <w:jc w:val="both"/>
      </w:pPr>
      <w:r>
        <w:t xml:space="preserve">"Madde 19. Parsel kullanım fonksiyonlarına göre yapılaşma koşulları f) Konut alanı: Bu alanda; İlgili idare meclisince yol boyu ticaret olarak teşekkül ettiği karar altına alınan konut alanlarında bulunan parsellerin; zemin kat ve yol seviyesinde veya açığa çıkan bodrum katlarının yoldan cephe alan mekânlarında ya da binanın birinci katında veya bodrum katlarında zemin katta yer alan mekânla içten bağlantılı olan ve binanın ortak merdivenleri ile ilişkilendirilmeyen, getirilecek kullanıma ilişkin otopark ihtiyacını karşılamak kaydıyla, gürültü ve kirlilik oluşturmayan ve imalâthane niteliğinde olmayan, gayrisıhhi özellik taşımayan, halkın günlük ihtiyaçlarını karşılamaya yönelik dükkân, kuaför, terzi, eczane, sağlık kabini, muayenehane ve lokanta, pastane gibi konut dışı hizmetler verilebilir." şeklinde olduğu, Barbaros, Metin Oktay, Umut, Bayraktar, Murat, </w:t>
      </w:r>
      <w:proofErr w:type="spellStart"/>
      <w:r>
        <w:t>Büyükesat</w:t>
      </w:r>
      <w:proofErr w:type="spellEnd"/>
      <w:r>
        <w:t xml:space="preserve"> Mahallelerinde alanın eğimi, yol genişlikleri, zemin katta ticaret kullanımının yoğunluğu ve konut parsellerinin alacağı hizmetin mekânsal olarak dengeli dağılmış olması göz önünde bulundurulmak suretiyle; Yönetmelikte belirlenen konut dışı hizmetlerin yapılabileceği caddeler/ sokakların plan paftasında gösterildiği şekilde aşağıdaki listede sıralandığı,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A1B1B" w:rsidRPr="002D00A5" w:rsidTr="003E6653">
        <w:trPr>
          <w:trHeight w:val="1008"/>
        </w:trPr>
        <w:tc>
          <w:tcPr>
            <w:tcW w:w="3510" w:type="dxa"/>
          </w:tcPr>
          <w:p w:rsidR="00EA1B1B" w:rsidRPr="002D00A5" w:rsidRDefault="00EA1B1B" w:rsidP="003E6653">
            <w:pPr>
              <w:ind w:right="-1"/>
              <w:jc w:val="center"/>
            </w:pPr>
            <w:bookmarkStart w:id="0" w:name="_GoBack"/>
            <w:bookmarkEnd w:id="0"/>
            <w:r w:rsidRPr="002D00A5">
              <w:lastRenderedPageBreak/>
              <w:t>T.C.</w:t>
            </w:r>
          </w:p>
          <w:p w:rsidR="00EA1B1B" w:rsidRPr="002D00A5" w:rsidRDefault="00EA1B1B" w:rsidP="003E6653">
            <w:pPr>
              <w:ind w:right="-1"/>
              <w:jc w:val="center"/>
            </w:pPr>
            <w:r w:rsidRPr="002D00A5">
              <w:t>ANKARA BÜYÜKŞEHİR</w:t>
            </w:r>
          </w:p>
          <w:p w:rsidR="00EA1B1B" w:rsidRPr="002D00A5" w:rsidRDefault="00EA1B1B" w:rsidP="003E6653">
            <w:pPr>
              <w:ind w:right="-1"/>
              <w:jc w:val="center"/>
            </w:pPr>
            <w:r w:rsidRPr="002D00A5">
              <w:t>BELEDİYE MECLİSİ</w:t>
            </w:r>
          </w:p>
        </w:tc>
      </w:tr>
    </w:tbl>
    <w:p w:rsidR="00EA1B1B" w:rsidRDefault="00EA1B1B" w:rsidP="00EA1B1B">
      <w:pPr>
        <w:tabs>
          <w:tab w:val="left" w:pos="1935"/>
          <w:tab w:val="left" w:pos="9356"/>
        </w:tabs>
        <w:ind w:right="-1"/>
        <w:jc w:val="both"/>
      </w:pPr>
    </w:p>
    <w:p w:rsidR="00EA1B1B" w:rsidRDefault="00EA1B1B" w:rsidP="00EA1B1B">
      <w:pPr>
        <w:tabs>
          <w:tab w:val="left" w:pos="1935"/>
          <w:tab w:val="left" w:pos="9356"/>
        </w:tabs>
        <w:ind w:right="-1"/>
        <w:jc w:val="both"/>
      </w:pPr>
    </w:p>
    <w:p w:rsidR="00EA1B1B" w:rsidRDefault="00EA1B1B" w:rsidP="00EA1B1B">
      <w:pPr>
        <w:tabs>
          <w:tab w:val="left" w:pos="0"/>
        </w:tabs>
        <w:ind w:right="-1"/>
        <w:jc w:val="both"/>
      </w:pPr>
      <w:r>
        <w:t>Karar No: 1010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EA1B1B" w:rsidRDefault="00EA1B1B" w:rsidP="00EA1B1B">
      <w:pPr>
        <w:tabs>
          <w:tab w:val="left" w:pos="0"/>
        </w:tabs>
        <w:ind w:right="-1"/>
        <w:jc w:val="both"/>
      </w:pPr>
    </w:p>
    <w:p w:rsidR="00EA1B1B" w:rsidRDefault="00EA1B1B" w:rsidP="00EA1B1B">
      <w:pPr>
        <w:tabs>
          <w:tab w:val="left" w:pos="0"/>
        </w:tabs>
        <w:ind w:right="-1"/>
        <w:jc w:val="both"/>
      </w:pPr>
    </w:p>
    <w:p w:rsidR="00EA1B1B" w:rsidRPr="00432E6C" w:rsidRDefault="00EA1B1B" w:rsidP="00EA1B1B">
      <w:pPr>
        <w:tabs>
          <w:tab w:val="left" w:pos="0"/>
        </w:tabs>
        <w:ind w:right="-1"/>
        <w:jc w:val="center"/>
      </w:pPr>
      <w:r>
        <w:t>-2-</w:t>
      </w:r>
      <w:r w:rsidRPr="00432E6C">
        <w:br/>
      </w:r>
      <w:r w:rsidRPr="00432E6C">
        <w:br/>
      </w:r>
    </w:p>
    <w:p w:rsidR="00EA1B1B" w:rsidRPr="00432E6C" w:rsidRDefault="00EA1B1B" w:rsidP="00EA1B1B">
      <w:pPr>
        <w:tabs>
          <w:tab w:val="left" w:pos="0"/>
        </w:tabs>
        <w:ind w:right="-1" w:firstLine="709"/>
        <w:jc w:val="both"/>
      </w:pPr>
    </w:p>
    <w:tbl>
      <w:tblPr>
        <w:tblW w:w="0" w:type="auto"/>
        <w:tblCellSpacing w:w="0" w:type="dxa"/>
        <w:tblInd w:w="738" w:type="dxa"/>
        <w:tblCellMar>
          <w:left w:w="0" w:type="dxa"/>
          <w:right w:w="0" w:type="dxa"/>
        </w:tblCellMar>
        <w:tblLook w:val="04A0" w:firstRow="1" w:lastRow="0" w:firstColumn="1" w:lastColumn="0" w:noHBand="0" w:noVBand="1"/>
      </w:tblPr>
      <w:tblGrid>
        <w:gridCol w:w="2798"/>
        <w:gridCol w:w="2798"/>
      </w:tblGrid>
      <w:tr w:rsidR="00EA1B1B" w:rsidRPr="00432E6C" w:rsidTr="003E6653">
        <w:trPr>
          <w:trHeight w:val="262"/>
          <w:tblCellSpacing w:w="0" w:type="dxa"/>
        </w:trPr>
        <w:tc>
          <w:tcPr>
            <w:tcW w:w="27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1B1B" w:rsidRPr="00432E6C" w:rsidRDefault="00EA1B1B" w:rsidP="003E6653">
            <w:pPr>
              <w:tabs>
                <w:tab w:val="left" w:pos="0"/>
              </w:tabs>
              <w:ind w:right="-1"/>
              <w:jc w:val="both"/>
            </w:pPr>
            <w:r w:rsidRPr="00432E6C">
              <w:t>John F. Kennedy Caddesi</w:t>
            </w:r>
          </w:p>
        </w:tc>
        <w:tc>
          <w:tcPr>
            <w:tcW w:w="27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1B1B" w:rsidRPr="00432E6C" w:rsidRDefault="00EA1B1B" w:rsidP="003E6653">
            <w:pPr>
              <w:tabs>
                <w:tab w:val="left" w:pos="0"/>
              </w:tabs>
              <w:ind w:right="-1"/>
              <w:jc w:val="both"/>
            </w:pPr>
            <w:r w:rsidRPr="00432E6C">
              <w:t>Gökçen Sokağı</w:t>
            </w:r>
          </w:p>
        </w:tc>
      </w:tr>
      <w:tr w:rsidR="00EA1B1B" w:rsidRPr="00432E6C" w:rsidTr="003E6653">
        <w:trPr>
          <w:trHeight w:val="247"/>
          <w:tblCellSpacing w:w="0" w:type="dxa"/>
        </w:trPr>
        <w:tc>
          <w:tcPr>
            <w:tcW w:w="27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1B1B" w:rsidRPr="00432E6C" w:rsidRDefault="00EA1B1B" w:rsidP="003E6653">
            <w:pPr>
              <w:tabs>
                <w:tab w:val="left" w:pos="0"/>
              </w:tabs>
              <w:ind w:right="-1"/>
              <w:jc w:val="both"/>
            </w:pPr>
            <w:r w:rsidRPr="00432E6C">
              <w:t>Aşkale Caddesi</w:t>
            </w:r>
          </w:p>
        </w:tc>
        <w:tc>
          <w:tcPr>
            <w:tcW w:w="2798" w:type="dxa"/>
            <w:tcBorders>
              <w:top w:val="nil"/>
              <w:left w:val="nil"/>
              <w:bottom w:val="single" w:sz="8" w:space="0" w:color="auto"/>
              <w:right w:val="single" w:sz="8" w:space="0" w:color="auto"/>
            </w:tcBorders>
            <w:tcMar>
              <w:top w:w="0" w:type="dxa"/>
              <w:left w:w="108" w:type="dxa"/>
              <w:bottom w:w="0" w:type="dxa"/>
              <w:right w:w="108" w:type="dxa"/>
            </w:tcMar>
            <w:hideMark/>
          </w:tcPr>
          <w:p w:rsidR="00EA1B1B" w:rsidRPr="00432E6C" w:rsidRDefault="00EA1B1B" w:rsidP="003E6653">
            <w:pPr>
              <w:tabs>
                <w:tab w:val="left" w:pos="0"/>
              </w:tabs>
              <w:ind w:right="-1"/>
              <w:jc w:val="both"/>
            </w:pPr>
            <w:proofErr w:type="spellStart"/>
            <w:r w:rsidRPr="00432E6C">
              <w:t>Yavuzevler</w:t>
            </w:r>
            <w:proofErr w:type="spellEnd"/>
            <w:r w:rsidRPr="00432E6C">
              <w:t xml:space="preserve"> Sokağı</w:t>
            </w:r>
          </w:p>
        </w:tc>
      </w:tr>
      <w:tr w:rsidR="00EA1B1B" w:rsidRPr="00432E6C" w:rsidTr="003E6653">
        <w:trPr>
          <w:trHeight w:val="262"/>
          <w:tblCellSpacing w:w="0" w:type="dxa"/>
        </w:trPr>
        <w:tc>
          <w:tcPr>
            <w:tcW w:w="27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1B1B" w:rsidRPr="00432E6C" w:rsidRDefault="00EA1B1B" w:rsidP="003E6653">
            <w:pPr>
              <w:tabs>
                <w:tab w:val="left" w:pos="0"/>
              </w:tabs>
              <w:ind w:right="-1"/>
              <w:jc w:val="both"/>
            </w:pPr>
            <w:r w:rsidRPr="00432E6C">
              <w:t>Tekman Caddesi</w:t>
            </w:r>
          </w:p>
        </w:tc>
        <w:tc>
          <w:tcPr>
            <w:tcW w:w="2798" w:type="dxa"/>
            <w:tcBorders>
              <w:top w:val="nil"/>
              <w:left w:val="nil"/>
              <w:bottom w:val="single" w:sz="8" w:space="0" w:color="auto"/>
              <w:right w:val="single" w:sz="8" w:space="0" w:color="auto"/>
            </w:tcBorders>
            <w:tcMar>
              <w:top w:w="0" w:type="dxa"/>
              <w:left w:w="108" w:type="dxa"/>
              <w:bottom w:w="0" w:type="dxa"/>
              <w:right w:w="108" w:type="dxa"/>
            </w:tcMar>
            <w:hideMark/>
          </w:tcPr>
          <w:p w:rsidR="00EA1B1B" w:rsidRPr="00432E6C" w:rsidRDefault="00EA1B1B" w:rsidP="003E6653">
            <w:pPr>
              <w:tabs>
                <w:tab w:val="left" w:pos="0"/>
              </w:tabs>
              <w:ind w:right="-1"/>
              <w:jc w:val="both"/>
            </w:pPr>
            <w:r w:rsidRPr="00432E6C">
              <w:t>Akhisar Sokağı</w:t>
            </w:r>
          </w:p>
        </w:tc>
      </w:tr>
      <w:tr w:rsidR="00EA1B1B" w:rsidRPr="00432E6C" w:rsidTr="003E6653">
        <w:trPr>
          <w:trHeight w:val="247"/>
          <w:tblCellSpacing w:w="0" w:type="dxa"/>
        </w:trPr>
        <w:tc>
          <w:tcPr>
            <w:tcW w:w="27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1B1B" w:rsidRPr="00432E6C" w:rsidRDefault="00EA1B1B" w:rsidP="003E6653">
            <w:pPr>
              <w:tabs>
                <w:tab w:val="left" w:pos="0"/>
              </w:tabs>
              <w:ind w:right="-1"/>
              <w:jc w:val="both"/>
            </w:pPr>
            <w:r w:rsidRPr="00432E6C">
              <w:t>Narman Caddesi</w:t>
            </w:r>
          </w:p>
        </w:tc>
        <w:tc>
          <w:tcPr>
            <w:tcW w:w="2798" w:type="dxa"/>
            <w:tcBorders>
              <w:top w:val="nil"/>
              <w:left w:val="nil"/>
              <w:bottom w:val="single" w:sz="8" w:space="0" w:color="auto"/>
              <w:right w:val="single" w:sz="8" w:space="0" w:color="auto"/>
            </w:tcBorders>
            <w:tcMar>
              <w:top w:w="0" w:type="dxa"/>
              <w:left w:w="108" w:type="dxa"/>
              <w:bottom w:w="0" w:type="dxa"/>
              <w:right w:w="108" w:type="dxa"/>
            </w:tcMar>
            <w:hideMark/>
          </w:tcPr>
          <w:p w:rsidR="00EA1B1B" w:rsidRPr="00432E6C" w:rsidRDefault="00EA1B1B" w:rsidP="003E6653">
            <w:pPr>
              <w:tabs>
                <w:tab w:val="left" w:pos="0"/>
              </w:tabs>
              <w:ind w:right="-1"/>
              <w:jc w:val="both"/>
            </w:pPr>
            <w:r w:rsidRPr="00432E6C">
              <w:t>Zülfikar Sokağı</w:t>
            </w:r>
          </w:p>
        </w:tc>
      </w:tr>
      <w:tr w:rsidR="00EA1B1B" w:rsidRPr="00432E6C" w:rsidTr="003E6653">
        <w:trPr>
          <w:trHeight w:val="262"/>
          <w:tblCellSpacing w:w="0" w:type="dxa"/>
        </w:trPr>
        <w:tc>
          <w:tcPr>
            <w:tcW w:w="27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1B1B" w:rsidRPr="00432E6C" w:rsidRDefault="00EA1B1B" w:rsidP="003E6653">
            <w:pPr>
              <w:tabs>
                <w:tab w:val="left" w:pos="0"/>
              </w:tabs>
              <w:ind w:right="-1"/>
              <w:jc w:val="both"/>
            </w:pPr>
            <w:r w:rsidRPr="00432E6C">
              <w:t>Çat Caddesi</w:t>
            </w:r>
          </w:p>
        </w:tc>
        <w:tc>
          <w:tcPr>
            <w:tcW w:w="2798" w:type="dxa"/>
            <w:tcBorders>
              <w:top w:val="nil"/>
              <w:left w:val="nil"/>
              <w:bottom w:val="single" w:sz="8" w:space="0" w:color="auto"/>
              <w:right w:val="single" w:sz="8" w:space="0" w:color="auto"/>
            </w:tcBorders>
            <w:tcMar>
              <w:top w:w="0" w:type="dxa"/>
              <w:left w:w="108" w:type="dxa"/>
              <w:bottom w:w="0" w:type="dxa"/>
              <w:right w:w="108" w:type="dxa"/>
            </w:tcMar>
            <w:hideMark/>
          </w:tcPr>
          <w:p w:rsidR="00EA1B1B" w:rsidRPr="00432E6C" w:rsidRDefault="00EA1B1B" w:rsidP="003E6653">
            <w:pPr>
              <w:tabs>
                <w:tab w:val="left" w:pos="0"/>
              </w:tabs>
              <w:ind w:right="-1"/>
              <w:jc w:val="both"/>
            </w:pPr>
            <w:r w:rsidRPr="00432E6C">
              <w:t>Folklor Sokağı</w:t>
            </w:r>
          </w:p>
        </w:tc>
      </w:tr>
      <w:tr w:rsidR="00EA1B1B" w:rsidRPr="00432E6C" w:rsidTr="003E6653">
        <w:trPr>
          <w:trHeight w:val="247"/>
          <w:tblCellSpacing w:w="0" w:type="dxa"/>
        </w:trPr>
        <w:tc>
          <w:tcPr>
            <w:tcW w:w="27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1B1B" w:rsidRPr="00432E6C" w:rsidRDefault="00EA1B1B" w:rsidP="003E6653">
            <w:pPr>
              <w:tabs>
                <w:tab w:val="left" w:pos="0"/>
              </w:tabs>
              <w:ind w:right="-1"/>
              <w:jc w:val="both"/>
            </w:pPr>
            <w:r w:rsidRPr="00432E6C">
              <w:t>Sivrihisar Caddesi</w:t>
            </w:r>
          </w:p>
        </w:tc>
        <w:tc>
          <w:tcPr>
            <w:tcW w:w="2798" w:type="dxa"/>
            <w:tcBorders>
              <w:top w:val="nil"/>
              <w:left w:val="nil"/>
              <w:bottom w:val="single" w:sz="8" w:space="0" w:color="auto"/>
              <w:right w:val="single" w:sz="8" w:space="0" w:color="auto"/>
            </w:tcBorders>
            <w:tcMar>
              <w:top w:w="0" w:type="dxa"/>
              <w:left w:w="108" w:type="dxa"/>
              <w:bottom w:w="0" w:type="dxa"/>
              <w:right w:w="108" w:type="dxa"/>
            </w:tcMar>
            <w:hideMark/>
          </w:tcPr>
          <w:p w:rsidR="00EA1B1B" w:rsidRPr="00432E6C" w:rsidRDefault="00EA1B1B" w:rsidP="003E6653">
            <w:pPr>
              <w:tabs>
                <w:tab w:val="left" w:pos="0"/>
              </w:tabs>
              <w:ind w:right="-1"/>
              <w:jc w:val="both"/>
            </w:pPr>
            <w:r w:rsidRPr="00432E6C">
              <w:t>Bayraklı Sokağı</w:t>
            </w:r>
          </w:p>
        </w:tc>
      </w:tr>
      <w:tr w:rsidR="00EA1B1B" w:rsidRPr="00432E6C" w:rsidTr="003E6653">
        <w:trPr>
          <w:trHeight w:val="262"/>
          <w:tblCellSpacing w:w="0" w:type="dxa"/>
        </w:trPr>
        <w:tc>
          <w:tcPr>
            <w:tcW w:w="27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1B1B" w:rsidRPr="00432E6C" w:rsidRDefault="00EA1B1B" w:rsidP="003E6653">
            <w:pPr>
              <w:tabs>
                <w:tab w:val="left" w:pos="0"/>
              </w:tabs>
              <w:ind w:right="-1"/>
              <w:jc w:val="both"/>
            </w:pPr>
            <w:r w:rsidRPr="00432E6C">
              <w:t>Serhat Caddesi</w:t>
            </w:r>
          </w:p>
        </w:tc>
        <w:tc>
          <w:tcPr>
            <w:tcW w:w="2798" w:type="dxa"/>
            <w:tcBorders>
              <w:top w:val="nil"/>
              <w:left w:val="nil"/>
              <w:bottom w:val="single" w:sz="8" w:space="0" w:color="auto"/>
              <w:right w:val="single" w:sz="8" w:space="0" w:color="auto"/>
            </w:tcBorders>
            <w:tcMar>
              <w:top w:w="0" w:type="dxa"/>
              <w:left w:w="108" w:type="dxa"/>
              <w:bottom w:w="0" w:type="dxa"/>
              <w:right w:w="108" w:type="dxa"/>
            </w:tcMar>
            <w:hideMark/>
          </w:tcPr>
          <w:p w:rsidR="00EA1B1B" w:rsidRPr="00432E6C" w:rsidRDefault="00EA1B1B" w:rsidP="003E6653">
            <w:pPr>
              <w:tabs>
                <w:tab w:val="left" w:pos="0"/>
              </w:tabs>
              <w:ind w:right="-1"/>
              <w:jc w:val="both"/>
            </w:pPr>
            <w:r w:rsidRPr="00432E6C">
              <w:t>Maçka Sokağı</w:t>
            </w:r>
          </w:p>
        </w:tc>
      </w:tr>
      <w:tr w:rsidR="00EA1B1B" w:rsidRPr="00432E6C" w:rsidTr="003E6653">
        <w:trPr>
          <w:trHeight w:val="247"/>
          <w:tblCellSpacing w:w="0" w:type="dxa"/>
        </w:trPr>
        <w:tc>
          <w:tcPr>
            <w:tcW w:w="27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1B1B" w:rsidRPr="00432E6C" w:rsidRDefault="00EA1B1B" w:rsidP="003E6653">
            <w:pPr>
              <w:tabs>
                <w:tab w:val="left" w:pos="0"/>
              </w:tabs>
              <w:ind w:right="-1" w:firstLine="709"/>
              <w:jc w:val="both"/>
            </w:pPr>
          </w:p>
        </w:tc>
        <w:tc>
          <w:tcPr>
            <w:tcW w:w="2798" w:type="dxa"/>
            <w:tcBorders>
              <w:top w:val="nil"/>
              <w:left w:val="nil"/>
              <w:bottom w:val="single" w:sz="8" w:space="0" w:color="auto"/>
              <w:right w:val="single" w:sz="8" w:space="0" w:color="auto"/>
            </w:tcBorders>
            <w:tcMar>
              <w:top w:w="0" w:type="dxa"/>
              <w:left w:w="108" w:type="dxa"/>
              <w:bottom w:w="0" w:type="dxa"/>
              <w:right w:w="108" w:type="dxa"/>
            </w:tcMar>
            <w:hideMark/>
          </w:tcPr>
          <w:p w:rsidR="00EA1B1B" w:rsidRPr="00432E6C" w:rsidRDefault="00EA1B1B" w:rsidP="003E6653">
            <w:pPr>
              <w:tabs>
                <w:tab w:val="left" w:pos="0"/>
              </w:tabs>
              <w:ind w:right="-1"/>
              <w:jc w:val="both"/>
            </w:pPr>
            <w:r w:rsidRPr="00432E6C">
              <w:t>Turgutlu Sokağı</w:t>
            </w:r>
          </w:p>
        </w:tc>
      </w:tr>
    </w:tbl>
    <w:p w:rsidR="00EA1B1B" w:rsidRDefault="00EA1B1B" w:rsidP="00EA1B1B">
      <w:pPr>
        <w:tabs>
          <w:tab w:val="left" w:pos="0"/>
        </w:tabs>
        <w:ind w:right="-1"/>
        <w:jc w:val="both"/>
      </w:pPr>
      <w:r w:rsidRPr="00432E6C">
        <w:t> </w:t>
      </w:r>
      <w:r w:rsidRPr="00432E6C">
        <w:br/>
      </w:r>
      <w:r w:rsidRPr="00432E6C">
        <w:t> </w:t>
      </w:r>
      <w:r w:rsidRPr="00432E6C">
        <w:t> </w:t>
      </w:r>
      <w:r w:rsidRPr="00432E6C">
        <w:t> </w:t>
      </w:r>
      <w:r w:rsidRPr="00432E6C">
        <w:rPr>
          <w:b/>
        </w:rPr>
        <w:t>Başkanlığımızca yapılan değerlendirmede;</w:t>
      </w:r>
      <w:r w:rsidRPr="00432E6C">
        <w:t xml:space="preserve"> İlçe Belediyesi Meclis Kararına ilişkin bir karar alınması gerektiği, </w:t>
      </w:r>
      <w:r>
        <w:t>görüş ve sonucuna varıldığı,</w:t>
      </w:r>
    </w:p>
    <w:p w:rsidR="00EA1B1B" w:rsidRDefault="00EA1B1B" w:rsidP="00EA1B1B">
      <w:pPr>
        <w:tabs>
          <w:tab w:val="left" w:pos="0"/>
        </w:tabs>
        <w:ind w:right="-1" w:firstLine="709"/>
        <w:jc w:val="both"/>
      </w:pPr>
    </w:p>
    <w:p w:rsidR="00EC582E" w:rsidRDefault="00EA1B1B" w:rsidP="00EA1B1B">
      <w:pPr>
        <w:tabs>
          <w:tab w:val="left" w:pos="0"/>
        </w:tabs>
        <w:ind w:right="-1" w:firstLine="709"/>
        <w:jc w:val="both"/>
      </w:pPr>
      <w:r>
        <w:t xml:space="preserve">Hususları tespit edilmiş olup, </w:t>
      </w:r>
      <w:r w:rsidRPr="00432E6C">
        <w:t>Çankaya </w:t>
      </w:r>
      <w:r>
        <w:t>İlçesi B</w:t>
      </w:r>
      <w:r w:rsidRPr="00432E6C">
        <w:t xml:space="preserve">arbaros, Metin Oktay, Umut, Bayraktar, Murat, </w:t>
      </w:r>
      <w:proofErr w:type="spellStart"/>
      <w:r w:rsidRPr="00432E6C">
        <w:t>Büyükesat</w:t>
      </w:r>
      <w:proofErr w:type="spellEnd"/>
      <w:r w:rsidRPr="00432E6C">
        <w:t xml:space="preserve"> Mahallelerinde Ankara  Büyükşehir Belediyesi İmar Yönetmeliğinin 19.f.1. Maddesinde açıklandığı şekilde yol boyu Ticaret Kullanımı yapılabilecek konut parsellerinin belirlenerek düzenlenmesine </w:t>
      </w:r>
      <w:r>
        <w:t>yönelik</w:t>
      </w:r>
      <w:r w:rsidRPr="00432E6C">
        <w:t xml:space="preserve"> 1/3000 ölçekli uygulama </w:t>
      </w:r>
      <w:r>
        <w:t xml:space="preserve">imar plan </w:t>
      </w:r>
      <w:r w:rsidRPr="00432E6C">
        <w:t>çalışma</w:t>
      </w:r>
      <w:r>
        <w:t>sı</w:t>
      </w:r>
      <w:r w:rsidRPr="00432E6C">
        <w:t>nın</w:t>
      </w:r>
      <w:r>
        <w:t xml:space="preserve"> </w:t>
      </w:r>
      <w:r>
        <w:t>“</w:t>
      </w:r>
      <w:proofErr w:type="spellStart"/>
      <w:r>
        <w:t>onayı”</w:t>
      </w:r>
      <w:r w:rsidR="006A3CC8">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525A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5A1FD-23F0-4148-978C-2515A6039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4227</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2024-12-11T07:38:00Z</cp:lastPrinted>
  <dcterms:created xsi:type="dcterms:W3CDTF">2025-07-09T07:41:00Z</dcterms:created>
  <dcterms:modified xsi:type="dcterms:W3CDTF">2025-07-09T07:41:00Z</dcterms:modified>
</cp:coreProperties>
</file>