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5A35BE">
        <w:t>1020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F762B4" w:rsidRDefault="00F762B4" w:rsidP="00AA7ED1">
      <w:pPr>
        <w:tabs>
          <w:tab w:val="left" w:pos="9356"/>
        </w:tabs>
        <w:ind w:right="-1"/>
        <w:jc w:val="both"/>
      </w:pP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EC582E" w:rsidRDefault="005A35BE" w:rsidP="00AA7ED1">
      <w:pPr>
        <w:ind w:right="-1" w:firstLine="708"/>
        <w:jc w:val="both"/>
      </w:pPr>
      <w:r w:rsidRPr="000074F3">
        <w:t>Kızılcahamam İlçesi Kemalpaşa Mahallesi 574 ve 575 adalarda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BD00C7">
        <w:t>24</w:t>
      </w:r>
      <w:r w:rsidR="00005846">
        <w:t>.</w:t>
      </w:r>
      <w:r w:rsidR="00B23ABD">
        <w:t>06</w:t>
      </w:r>
      <w:r w:rsidR="00B52587">
        <w:t>.2025</w:t>
      </w:r>
      <w:r w:rsidR="00EC582E" w:rsidRPr="00E35A5A">
        <w:t xml:space="preserve"> tarihli ve </w:t>
      </w:r>
      <w:r>
        <w:t>143</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A35BE" w:rsidRDefault="00EC582E" w:rsidP="005A35BE">
      <w:pPr>
        <w:tabs>
          <w:tab w:val="left" w:pos="0"/>
        </w:tabs>
        <w:ind w:right="-1" w:firstLine="709"/>
        <w:jc w:val="both"/>
      </w:pPr>
      <w:r w:rsidRPr="00E35A5A">
        <w:t>Konu üzerinde yapılan görüşmelerde;</w:t>
      </w:r>
      <w:r w:rsidR="00896330">
        <w:t xml:space="preserve"> </w:t>
      </w:r>
      <w:r w:rsidR="005A35BE" w:rsidRPr="00535C10">
        <w:t>Kızılcahamam Belediyesi İmar ve Şehircilik Müdürlüğü</w:t>
      </w:r>
      <w:r w:rsidR="005A35BE">
        <w:t>nün</w:t>
      </w:r>
      <w:r w:rsidR="005A35BE" w:rsidRPr="00535C10">
        <w:t xml:space="preserve"> 09.10.2024 tarihli ve E-50658962-115.01.99-15979 sayılı yazısı </w:t>
      </w:r>
      <w:proofErr w:type="gramStart"/>
      <w:r w:rsidR="005A35BE" w:rsidRPr="00535C10">
        <w:t>ile,</w:t>
      </w:r>
      <w:proofErr w:type="gramEnd"/>
      <w:r w:rsidR="005A35BE" w:rsidRPr="00535C10">
        <w:t xml:space="preserve"> Kızılcahamam Belediye Meclisinin 06.05.2024 gün ve 35 sayılı </w:t>
      </w:r>
      <w:r w:rsidR="005A35BE">
        <w:t xml:space="preserve">Kararı ile uygun görülen </w:t>
      </w:r>
      <w:r w:rsidR="005A35BE" w:rsidRPr="00535C10">
        <w:t>Kemalpaşa Mahallesi 574 ve 575 sayılı adalara yönelik 1/1000 ölçekli uygulama imar planı değişikliği ve tavsiye niteliğindeki 1/5000 ölçekli nazım imar planı değişikliği teklifine ait dosya</w:t>
      </w:r>
      <w:r w:rsidR="005A35BE">
        <w:t>nın</w:t>
      </w:r>
      <w:r w:rsidR="005A35BE" w:rsidRPr="00535C10">
        <w:t xml:space="preserve">, 5216 sayılı Kanun uyarınca </w:t>
      </w:r>
      <w:r w:rsidR="005A35BE">
        <w:t xml:space="preserve">İmar ve Şehircilik Dairesi </w:t>
      </w:r>
      <w:r w:rsidR="005A35BE" w:rsidRPr="00535C10">
        <w:t>Başkanlığı</w:t>
      </w:r>
      <w:r w:rsidR="005A35BE">
        <w:t>na sunulduğu,</w:t>
      </w:r>
    </w:p>
    <w:p w:rsidR="005A35BE" w:rsidRDefault="005A35BE" w:rsidP="005A35BE">
      <w:pPr>
        <w:tabs>
          <w:tab w:val="left" w:pos="0"/>
        </w:tabs>
        <w:ind w:right="-1" w:firstLine="709"/>
        <w:jc w:val="both"/>
      </w:pPr>
    </w:p>
    <w:p w:rsidR="005A35BE" w:rsidRPr="00535C10" w:rsidRDefault="005A35BE" w:rsidP="005A35BE">
      <w:pPr>
        <w:tabs>
          <w:tab w:val="left" w:pos="0"/>
        </w:tabs>
        <w:ind w:right="-1" w:firstLine="709"/>
        <w:jc w:val="both"/>
        <w:rPr>
          <w:b/>
        </w:rPr>
      </w:pPr>
      <w:r w:rsidRPr="00535C10">
        <w:rPr>
          <w:b/>
        </w:rPr>
        <w:t>Yapılan incelemede;</w:t>
      </w:r>
    </w:p>
    <w:p w:rsidR="005A35BE" w:rsidRDefault="005A35BE" w:rsidP="005A35BE">
      <w:pPr>
        <w:tabs>
          <w:tab w:val="left" w:pos="0"/>
        </w:tabs>
        <w:ind w:right="-1" w:firstLine="709"/>
        <w:jc w:val="both"/>
      </w:pPr>
      <w:r w:rsidRPr="00535C10">
        <w:rPr>
          <w:b/>
        </w:rPr>
        <w:t>Teklife konu alanın mülkiyet ve mevcut imar durumunun;</w:t>
      </w:r>
      <w:r w:rsidRPr="00535C10">
        <w:t xml:space="preserve"> Kemalpaşa Mahallesi 574 ve 575 sayılı adaların, Kızılcahamam Belediye Meclisinin 07.07.2009 gün ve 41 sayılı Kararı ile onaylanan 1/5000 ölçekli ilave revizyon nazım imar planı ve 1/1000 ölçekli uygulama imar planı kapsamında konut alanı, </w:t>
      </w:r>
      <w:proofErr w:type="spellStart"/>
      <w:r w:rsidRPr="00535C10">
        <w:t>SKT+Dini</w:t>
      </w:r>
      <w:proofErr w:type="spellEnd"/>
      <w:r w:rsidRPr="00535C10">
        <w:t xml:space="preserve"> Tesis, park ve rekreasyon alanı kullanımlarında kaldığı, değişikliğe konu alan sınırı içerisinde yer alan mülkiyetlerin şahıs</w:t>
      </w:r>
      <w:r>
        <w:t xml:space="preserve"> </w:t>
      </w:r>
      <w:r w:rsidRPr="00535C10">
        <w:t>(11730m</w:t>
      </w:r>
      <w:r w:rsidRPr="00F41AA6">
        <w:rPr>
          <w:vertAlign w:val="superscript"/>
        </w:rPr>
        <w:t>2</w:t>
      </w:r>
      <w:r w:rsidRPr="00535C10">
        <w:t>), Kızılcahamam Belediyesi</w:t>
      </w:r>
      <w:r>
        <w:t xml:space="preserve"> </w:t>
      </w:r>
      <w:r w:rsidRPr="00535C10">
        <w:t>(23m</w:t>
      </w:r>
      <w:r w:rsidRPr="00F41AA6">
        <w:rPr>
          <w:vertAlign w:val="superscript"/>
        </w:rPr>
        <w:t>2</w:t>
      </w:r>
      <w:r w:rsidRPr="00535C10">
        <w:t>) ve Maliye Hazinesine</w:t>
      </w:r>
      <w:r>
        <w:t xml:space="preserve"> </w:t>
      </w:r>
      <w:r w:rsidRPr="00535C10">
        <w:t>(3765m</w:t>
      </w:r>
      <w:r w:rsidRPr="00F41AA6">
        <w:rPr>
          <w:vertAlign w:val="superscript"/>
        </w:rPr>
        <w:t>2</w:t>
      </w:r>
      <w:r w:rsidRPr="00535C10">
        <w:t>) ait olduğu, plan değişikliği alanının toplam yüzölçümünün 25.544m</w:t>
      </w:r>
      <w:r w:rsidRPr="00F41AA6">
        <w:rPr>
          <w:vertAlign w:val="superscript"/>
        </w:rPr>
        <w:t>2</w:t>
      </w:r>
      <w:r w:rsidRPr="00535C10">
        <w:t xml:space="preserve"> o</w:t>
      </w:r>
      <w:r>
        <w:t>lduğu,</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rPr>
          <w:b/>
        </w:rPr>
        <w:t>Plan değişikliği teklifi açıklama raporunda;</w:t>
      </w:r>
      <w:r w:rsidRPr="00535C10">
        <w:t> 574 ada 1 parselin kuzeybatısında yer alan imamevini, Kızılcahamam Revizyon İmar Planında park alanı olarak planlı olduğu, Kızılcahamam Kaymakamlığı İlçe Müftülüğünün talebi doğrultusunda imam evinin lojman (sosyal tesis) olarak plana işlenmesi amacıyla plan değişikliğini</w:t>
      </w:r>
      <w:r>
        <w:t>n hazırlandığının belirtildiği,</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Plan değişiklik teklifine yönelik ASKİ Genel Müdürlüğü'nün 13.08.2024 gün ve 670782 sayılı yazısı ekinde gönderilen sayısal verilere göre söz konusu alanda mevcut hatlarının bulunduğu belirtilerek planlama esnasında mevcut hatlarının korunmasının </w:t>
      </w:r>
      <w:r>
        <w:t>istendiği,</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Kızılcahamam Doğalgaz Dağıtım A.Ş.'</w:t>
      </w:r>
      <w:proofErr w:type="spellStart"/>
      <w:r w:rsidRPr="00535C10">
        <w:t>nin</w:t>
      </w:r>
      <w:proofErr w:type="spellEnd"/>
      <w:r w:rsidRPr="00535C10">
        <w:t xml:space="preserve"> 10.10.2024 gün ve 2024/02/064 sayılı yazısında söz konusu alanda imar planı çalışmalarıyla alakalı şirketlerinde görüş ve taleplerinin olmadığının</w:t>
      </w:r>
      <w:r>
        <w:t> belirtildiği, </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Başkent Elektrik Dağıtım A.Ş.'</w:t>
      </w:r>
      <w:proofErr w:type="spellStart"/>
      <w:r w:rsidRPr="00535C10">
        <w:t>nin</w:t>
      </w:r>
      <w:proofErr w:type="spellEnd"/>
      <w:r w:rsidRPr="00535C10">
        <w:t xml:space="preserve"> 13.06.2024 gün ve E.599872 sayılı yazısında; Planlama alanında yatırım planlarının bulunmamasıyla birlikte söz konusu parsele yakın durumda bulunan mevcut elektrik dağıtım şebekeleri ile yapılması planlanan imar planı ile parsel yakınında kalan mevcut dağıtım tesislerimiz arasında Elektrik Kuvvetli Akım Tesisleri Yönetmeliğinde belirtilen yaklaşma mesafeleri sağlandığı takdirde ve söz konusu bölgelerden ileride gelebilecek enerji talepleri ile tedarik sürekliliğinin sağlanması baz alınarak trafo tesisleri için teknik altyapı alanlarının ayrılması durumunda şirketlerince bir sakınca bulunmadığının</w:t>
      </w:r>
      <w:r>
        <w:t> belirtildiği, </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A35BE" w:rsidRPr="002D00A5" w:rsidTr="003E6653">
        <w:trPr>
          <w:trHeight w:val="1008"/>
        </w:trPr>
        <w:tc>
          <w:tcPr>
            <w:tcW w:w="3510" w:type="dxa"/>
          </w:tcPr>
          <w:p w:rsidR="005A35BE" w:rsidRPr="002D00A5" w:rsidRDefault="005A35BE" w:rsidP="003E6653">
            <w:pPr>
              <w:ind w:right="-1"/>
              <w:jc w:val="center"/>
            </w:pPr>
            <w:r w:rsidRPr="002D00A5">
              <w:lastRenderedPageBreak/>
              <w:t>T.C.</w:t>
            </w:r>
          </w:p>
          <w:p w:rsidR="005A35BE" w:rsidRPr="002D00A5" w:rsidRDefault="005A35BE" w:rsidP="003E6653">
            <w:pPr>
              <w:ind w:right="-1"/>
              <w:jc w:val="center"/>
            </w:pPr>
            <w:r w:rsidRPr="002D00A5">
              <w:t>ANKARA BÜYÜKŞEHİR</w:t>
            </w:r>
          </w:p>
          <w:p w:rsidR="005A35BE" w:rsidRPr="002D00A5" w:rsidRDefault="005A35BE" w:rsidP="003E6653">
            <w:pPr>
              <w:ind w:right="-1"/>
              <w:jc w:val="center"/>
            </w:pPr>
            <w:r w:rsidRPr="002D00A5">
              <w:t>BELEDİYE MECLİSİ</w:t>
            </w:r>
          </w:p>
        </w:tc>
      </w:tr>
    </w:tbl>
    <w:p w:rsidR="005A35BE" w:rsidRDefault="005A35BE" w:rsidP="005A35BE">
      <w:pPr>
        <w:tabs>
          <w:tab w:val="left" w:pos="1935"/>
          <w:tab w:val="left" w:pos="9356"/>
        </w:tabs>
        <w:ind w:right="-1"/>
        <w:jc w:val="both"/>
      </w:pPr>
    </w:p>
    <w:p w:rsidR="005A35BE" w:rsidRDefault="005A35BE" w:rsidP="005A35BE">
      <w:pPr>
        <w:tabs>
          <w:tab w:val="left" w:pos="1935"/>
          <w:tab w:val="left" w:pos="9356"/>
        </w:tabs>
        <w:ind w:right="-1"/>
        <w:jc w:val="both"/>
      </w:pPr>
    </w:p>
    <w:p w:rsidR="005A35BE" w:rsidRDefault="005A35BE" w:rsidP="005A35BE">
      <w:pPr>
        <w:tabs>
          <w:tab w:val="left" w:pos="0"/>
        </w:tabs>
        <w:ind w:right="-1"/>
        <w:jc w:val="both"/>
      </w:pPr>
      <w:r>
        <w:t>Karar No: 1020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5A35BE" w:rsidRDefault="005A35BE" w:rsidP="005A35BE">
      <w:pPr>
        <w:tabs>
          <w:tab w:val="left" w:pos="0"/>
        </w:tabs>
        <w:ind w:right="-1"/>
        <w:jc w:val="both"/>
      </w:pPr>
    </w:p>
    <w:p w:rsidR="005A35BE" w:rsidRDefault="005A35BE" w:rsidP="005A35BE">
      <w:pPr>
        <w:tabs>
          <w:tab w:val="left" w:pos="0"/>
        </w:tabs>
        <w:ind w:right="-1"/>
        <w:jc w:val="center"/>
      </w:pPr>
      <w:r>
        <w:t>-2-</w:t>
      </w:r>
    </w:p>
    <w:p w:rsidR="005A35BE" w:rsidRDefault="005A35BE" w:rsidP="005A35BE">
      <w:pPr>
        <w:tabs>
          <w:tab w:val="left" w:pos="0"/>
        </w:tabs>
        <w:ind w:right="-1"/>
        <w:jc w:val="both"/>
      </w:pPr>
    </w:p>
    <w:p w:rsidR="005A35BE" w:rsidRDefault="005A35BE" w:rsidP="005A35BE">
      <w:pPr>
        <w:tabs>
          <w:tab w:val="left" w:pos="0"/>
        </w:tabs>
        <w:ind w:right="-1" w:firstLine="709"/>
        <w:jc w:val="both"/>
      </w:pPr>
      <w:r w:rsidRPr="00535C10">
        <w:t xml:space="preserve">Kızılcahamam Belediyesi Fen İşleri Müdürlüğünün </w:t>
      </w:r>
      <w:proofErr w:type="spellStart"/>
      <w:r w:rsidRPr="00535C10">
        <w:t>bila</w:t>
      </w:r>
      <w:proofErr w:type="spellEnd"/>
      <w:r w:rsidRPr="00535C10">
        <w:t xml:space="preserve"> tarih ve E.16906 sayılı yazısında; "Hazırlanan plan değişikliği kapsamında park alanından sosyal tesis (lojman) alanına dönüştürülen yeşil alan miktarının eşdeğerinin farklı alandan sağlanması koşulu ile Birimimizce plan değişikliğinin uygulanmasında herhangi bir sakınca bulunmamaktadır.</w:t>
      </w:r>
      <w:r>
        <w:t> Şeklinde görüş belirtildiği, </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Kızılcahamam Kaymakamlığı İlçe Müftülüğünün 20.09.2023 gün ve 4222260 sayılı yazısında; "Kemalpaşa Mahallesinde bulunan imam evinin de bulunduğu 574 ve 575 sayılı adalarda imam evinin olduğu alanın sosyal tesis alanı (lojman) olarak revize edilmesinin uygun olduğunun</w:t>
      </w:r>
      <w:r>
        <w:t> belirtildiği,</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Planlama alanı ve çevresini kapsayan alana ilişkin olarak Ankara Valiliği(Çevre ve Şehircilik İl Müdürlüğü tarafından 24.12.2010 tarihinde onaylanmış "İmar Planına Esas Jeolojik-</w:t>
      </w:r>
      <w:proofErr w:type="spellStart"/>
      <w:r w:rsidRPr="00535C10">
        <w:t>Jeoteknik</w:t>
      </w:r>
      <w:proofErr w:type="spellEnd"/>
      <w:r w:rsidRPr="00535C10">
        <w:t xml:space="preserve"> Etüt Raporu"  kapsamında planlama alanının "Ö.A.2.1. Önlemli Alanlar" olarak tanımlandığı</w:t>
      </w:r>
      <w:r>
        <w:t>,</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1/1000 ölçekli uygulama imar planı değişiklik teklifinde; 574 ada 1 parselin kuzeybatısında yer alan mevcutta da imam evi bulunan park alanının 557m</w:t>
      </w:r>
      <w:r w:rsidRPr="00F41AA6">
        <w:rPr>
          <w:vertAlign w:val="superscript"/>
        </w:rPr>
        <w:t>2</w:t>
      </w:r>
      <w:r w:rsidRPr="00535C10">
        <w:t>'lik bir kısmı, sosyal tesis alanı (lojman) olarak ve yapılaşma koşullarını ayrık nizam 2 kat, TAKS:0.15, KAKS:0.30 olarak belirlendiği, park alanından kullanılan 557m</w:t>
      </w:r>
      <w:r w:rsidRPr="00F41AA6">
        <w:rPr>
          <w:vertAlign w:val="superscript"/>
        </w:rPr>
        <w:t>2</w:t>
      </w:r>
      <w:r w:rsidRPr="00535C10">
        <w:t xml:space="preserve">'lik alana karşılık olarak </w:t>
      </w:r>
      <w:proofErr w:type="spellStart"/>
      <w:r w:rsidRPr="00535C10">
        <w:t>SKT+Dini</w:t>
      </w:r>
      <w:proofErr w:type="spellEnd"/>
      <w:r w:rsidRPr="00535C10">
        <w:t xml:space="preserve"> Tesis olarak tanımlı 575 ada 1 parselin 557m</w:t>
      </w:r>
      <w:r w:rsidRPr="00F41AA6">
        <w:rPr>
          <w:vertAlign w:val="superscript"/>
        </w:rPr>
        <w:t>2</w:t>
      </w:r>
      <w:r w:rsidRPr="00535C10">
        <w:t>'lik bir kısmının park alanına dahil edildiği, 574 ada 7 parsel ile 575 ada 7 parsel arasından geçen 7 metrelik yaya yolunun eğiminin çok olması nedeniyle açılamadığı, bu nedenle hazırlanan plan değişikliğinde 7.00m.lik yaya yolunun kapatıldığı(568m</w:t>
      </w:r>
      <w:r w:rsidRPr="00F41AA6">
        <w:rPr>
          <w:vertAlign w:val="superscript"/>
        </w:rPr>
        <w:t>2</w:t>
      </w:r>
      <w:r w:rsidRPr="00535C10">
        <w:t xml:space="preserve">) ve park alanına dahil edildiği, ayrıca Gelişme Konut Alanı kullanımının ayrık nizam 2 katlı ve </w:t>
      </w:r>
      <w:proofErr w:type="spellStart"/>
      <w:r w:rsidRPr="00535C10">
        <w:t>Taks</w:t>
      </w:r>
      <w:proofErr w:type="spellEnd"/>
      <w:r w:rsidRPr="00535C10">
        <w:t xml:space="preserve">/Kaks:0.15/0.30 olduğu, </w:t>
      </w:r>
      <w:proofErr w:type="spellStart"/>
      <w:r w:rsidRPr="00535C10">
        <w:t>SKT+Dini</w:t>
      </w:r>
      <w:proofErr w:type="spellEnd"/>
      <w:r w:rsidRPr="00535C10">
        <w:t xml:space="preserve"> Tesis alanı kullanımının E:0.50 Yençok:2kat olduğu,</w:t>
      </w:r>
    </w:p>
    <w:p w:rsidR="005A35BE" w:rsidRPr="00535C10" w:rsidRDefault="005A35BE" w:rsidP="005A35BE">
      <w:pPr>
        <w:tabs>
          <w:tab w:val="left" w:pos="0"/>
        </w:tabs>
        <w:ind w:right="-1" w:firstLine="709"/>
        <w:jc w:val="both"/>
      </w:pPr>
    </w:p>
    <w:tbl>
      <w:tblPr>
        <w:tblW w:w="9318" w:type="dxa"/>
        <w:tblCellSpacing w:w="0" w:type="dxa"/>
        <w:tblCellMar>
          <w:left w:w="0" w:type="dxa"/>
          <w:right w:w="0" w:type="dxa"/>
        </w:tblCellMar>
        <w:tblLook w:val="04A0" w:firstRow="1" w:lastRow="0" w:firstColumn="1" w:lastColumn="0" w:noHBand="0" w:noVBand="1"/>
      </w:tblPr>
      <w:tblGrid>
        <w:gridCol w:w="2149"/>
        <w:gridCol w:w="2720"/>
        <w:gridCol w:w="2440"/>
        <w:gridCol w:w="2009"/>
      </w:tblGrid>
      <w:tr w:rsidR="005A35BE" w:rsidRPr="00535C10" w:rsidTr="003E6653">
        <w:trPr>
          <w:trHeight w:val="258"/>
          <w:tblCellSpacing w:w="0" w:type="dxa"/>
        </w:trPr>
        <w:tc>
          <w:tcPr>
            <w:tcW w:w="2149" w:type="dxa"/>
            <w:tcBorders>
              <w:top w:val="single" w:sz="8" w:space="0" w:color="000000"/>
              <w:left w:val="single" w:sz="8" w:space="0" w:color="000000"/>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both"/>
              <w:rPr>
                <w:b/>
                <w:sz w:val="22"/>
                <w:szCs w:val="22"/>
              </w:rPr>
            </w:pPr>
            <w:r w:rsidRPr="00CA1E68">
              <w:rPr>
                <w:b/>
                <w:sz w:val="22"/>
                <w:szCs w:val="22"/>
              </w:rPr>
              <w:t>KULLANIM</w:t>
            </w:r>
          </w:p>
        </w:tc>
        <w:tc>
          <w:tcPr>
            <w:tcW w:w="2720"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both"/>
              <w:rPr>
                <w:b/>
                <w:sz w:val="22"/>
                <w:szCs w:val="22"/>
              </w:rPr>
            </w:pPr>
            <w:r w:rsidRPr="00CA1E68">
              <w:rPr>
                <w:b/>
                <w:sz w:val="22"/>
                <w:szCs w:val="22"/>
              </w:rPr>
              <w:t>MEVCUT DURUM (M²)</w:t>
            </w:r>
          </w:p>
        </w:tc>
        <w:tc>
          <w:tcPr>
            <w:tcW w:w="2440"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both"/>
              <w:rPr>
                <w:b/>
                <w:sz w:val="22"/>
                <w:szCs w:val="22"/>
              </w:rPr>
            </w:pPr>
            <w:r w:rsidRPr="00CA1E68">
              <w:rPr>
                <w:b/>
                <w:sz w:val="22"/>
                <w:szCs w:val="22"/>
              </w:rPr>
              <w:t>ÖNERİ DURUM (M²)</w:t>
            </w:r>
          </w:p>
        </w:tc>
        <w:tc>
          <w:tcPr>
            <w:tcW w:w="2009" w:type="dxa"/>
            <w:tcBorders>
              <w:top w:val="single" w:sz="8" w:space="0" w:color="000000"/>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both"/>
              <w:rPr>
                <w:b/>
                <w:sz w:val="22"/>
                <w:szCs w:val="22"/>
              </w:rPr>
            </w:pPr>
            <w:r w:rsidRPr="00CA1E68">
              <w:rPr>
                <w:b/>
                <w:sz w:val="22"/>
                <w:szCs w:val="22"/>
              </w:rPr>
              <w:t>FARK (M²)</w:t>
            </w:r>
          </w:p>
        </w:tc>
      </w:tr>
      <w:tr w:rsidR="005A35BE" w:rsidRPr="00535C10" w:rsidTr="003E6653">
        <w:trPr>
          <w:trHeight w:val="186"/>
          <w:tblCellSpacing w:w="0" w:type="dxa"/>
        </w:trPr>
        <w:tc>
          <w:tcPr>
            <w:tcW w:w="2149" w:type="dxa"/>
            <w:tcBorders>
              <w:top w:val="nil"/>
              <w:left w:val="single" w:sz="8" w:space="0" w:color="000000"/>
              <w:bottom w:val="single" w:sz="8" w:space="0" w:color="000000"/>
              <w:right w:val="single" w:sz="8" w:space="0" w:color="000000"/>
            </w:tcBorders>
            <w:tcMar>
              <w:top w:w="0" w:type="dxa"/>
              <w:left w:w="56" w:type="dxa"/>
              <w:bottom w:w="0" w:type="dxa"/>
              <w:right w:w="56" w:type="dxa"/>
            </w:tcMar>
            <w:hideMark/>
          </w:tcPr>
          <w:p w:rsidR="005A35BE" w:rsidRPr="00535C10" w:rsidRDefault="005A35BE" w:rsidP="003E6653">
            <w:pPr>
              <w:tabs>
                <w:tab w:val="left" w:pos="0"/>
              </w:tabs>
              <w:ind w:right="-1"/>
              <w:jc w:val="both"/>
              <w:rPr>
                <w:b/>
                <w:sz w:val="22"/>
                <w:szCs w:val="22"/>
              </w:rPr>
            </w:pPr>
            <w:r w:rsidRPr="00CA1E68">
              <w:rPr>
                <w:b/>
                <w:sz w:val="22"/>
                <w:szCs w:val="22"/>
              </w:rPr>
              <w:t>Konut Alanı</w:t>
            </w:r>
          </w:p>
        </w:tc>
        <w:tc>
          <w:tcPr>
            <w:tcW w:w="272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11753</w:t>
            </w:r>
          </w:p>
        </w:tc>
        <w:tc>
          <w:tcPr>
            <w:tcW w:w="244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11753</w:t>
            </w:r>
          </w:p>
        </w:tc>
        <w:tc>
          <w:tcPr>
            <w:tcW w:w="2009"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0</w:t>
            </w:r>
          </w:p>
        </w:tc>
      </w:tr>
      <w:tr w:rsidR="005A35BE" w:rsidRPr="00535C10" w:rsidTr="003E6653">
        <w:trPr>
          <w:trHeight w:val="188"/>
          <w:tblCellSpacing w:w="0" w:type="dxa"/>
        </w:trPr>
        <w:tc>
          <w:tcPr>
            <w:tcW w:w="2149" w:type="dxa"/>
            <w:tcBorders>
              <w:top w:val="nil"/>
              <w:left w:val="single" w:sz="8" w:space="0" w:color="000000"/>
              <w:bottom w:val="single" w:sz="8" w:space="0" w:color="000000"/>
              <w:right w:val="single" w:sz="8" w:space="0" w:color="000000"/>
            </w:tcBorders>
            <w:tcMar>
              <w:top w:w="0" w:type="dxa"/>
              <w:left w:w="56" w:type="dxa"/>
              <w:bottom w:w="0" w:type="dxa"/>
              <w:right w:w="56" w:type="dxa"/>
            </w:tcMar>
            <w:hideMark/>
          </w:tcPr>
          <w:p w:rsidR="005A35BE" w:rsidRPr="00535C10" w:rsidRDefault="005A35BE" w:rsidP="003E6653">
            <w:pPr>
              <w:tabs>
                <w:tab w:val="left" w:pos="0"/>
              </w:tabs>
              <w:ind w:right="-1"/>
              <w:jc w:val="both"/>
              <w:rPr>
                <w:b/>
                <w:sz w:val="22"/>
                <w:szCs w:val="22"/>
              </w:rPr>
            </w:pPr>
            <w:r w:rsidRPr="00CA1E68">
              <w:rPr>
                <w:b/>
                <w:sz w:val="22"/>
                <w:szCs w:val="22"/>
              </w:rPr>
              <w:t xml:space="preserve">Cami </w:t>
            </w:r>
            <w:proofErr w:type="spellStart"/>
            <w:r w:rsidRPr="00CA1E68">
              <w:rPr>
                <w:b/>
                <w:sz w:val="22"/>
                <w:szCs w:val="22"/>
              </w:rPr>
              <w:t>Alanı+SKT</w:t>
            </w:r>
            <w:proofErr w:type="spellEnd"/>
          </w:p>
        </w:tc>
        <w:tc>
          <w:tcPr>
            <w:tcW w:w="272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2671</w:t>
            </w:r>
          </w:p>
        </w:tc>
        <w:tc>
          <w:tcPr>
            <w:tcW w:w="244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2113.5</w:t>
            </w:r>
          </w:p>
        </w:tc>
        <w:tc>
          <w:tcPr>
            <w:tcW w:w="2009"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-557.5</w:t>
            </w:r>
          </w:p>
        </w:tc>
      </w:tr>
      <w:tr w:rsidR="005A35BE" w:rsidRPr="00535C10" w:rsidTr="003E6653">
        <w:trPr>
          <w:trHeight w:val="184"/>
          <w:tblCellSpacing w:w="0" w:type="dxa"/>
        </w:trPr>
        <w:tc>
          <w:tcPr>
            <w:tcW w:w="2149" w:type="dxa"/>
            <w:tcBorders>
              <w:top w:val="nil"/>
              <w:left w:val="single" w:sz="8" w:space="0" w:color="000000"/>
              <w:bottom w:val="single" w:sz="8" w:space="0" w:color="000000"/>
              <w:right w:val="single" w:sz="8" w:space="0" w:color="000000"/>
            </w:tcBorders>
            <w:tcMar>
              <w:top w:w="0" w:type="dxa"/>
              <w:left w:w="56" w:type="dxa"/>
              <w:bottom w:w="0" w:type="dxa"/>
              <w:right w:w="56" w:type="dxa"/>
            </w:tcMar>
            <w:hideMark/>
          </w:tcPr>
          <w:p w:rsidR="005A35BE" w:rsidRPr="00535C10" w:rsidRDefault="005A35BE" w:rsidP="003E6653">
            <w:pPr>
              <w:tabs>
                <w:tab w:val="left" w:pos="0"/>
              </w:tabs>
              <w:ind w:right="-1"/>
              <w:jc w:val="both"/>
              <w:rPr>
                <w:b/>
                <w:sz w:val="22"/>
                <w:szCs w:val="22"/>
              </w:rPr>
            </w:pPr>
            <w:r w:rsidRPr="00CA1E68">
              <w:rPr>
                <w:b/>
                <w:sz w:val="22"/>
                <w:szCs w:val="22"/>
              </w:rPr>
              <w:t>Sosyal Tesis</w:t>
            </w:r>
          </w:p>
        </w:tc>
        <w:tc>
          <w:tcPr>
            <w:tcW w:w="272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w:t>
            </w:r>
          </w:p>
        </w:tc>
        <w:tc>
          <w:tcPr>
            <w:tcW w:w="244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557.5</w:t>
            </w:r>
          </w:p>
        </w:tc>
        <w:tc>
          <w:tcPr>
            <w:tcW w:w="2009"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557.5</w:t>
            </w:r>
          </w:p>
        </w:tc>
      </w:tr>
      <w:tr w:rsidR="005A35BE" w:rsidRPr="00535C10" w:rsidTr="003E6653">
        <w:trPr>
          <w:trHeight w:val="193"/>
          <w:tblCellSpacing w:w="0" w:type="dxa"/>
        </w:trPr>
        <w:tc>
          <w:tcPr>
            <w:tcW w:w="2149" w:type="dxa"/>
            <w:tcBorders>
              <w:top w:val="nil"/>
              <w:left w:val="single" w:sz="8" w:space="0" w:color="000000"/>
              <w:bottom w:val="single" w:sz="8" w:space="0" w:color="000000"/>
              <w:right w:val="single" w:sz="8" w:space="0" w:color="000000"/>
            </w:tcBorders>
            <w:tcMar>
              <w:top w:w="0" w:type="dxa"/>
              <w:left w:w="56" w:type="dxa"/>
              <w:bottom w:w="0" w:type="dxa"/>
              <w:right w:w="56" w:type="dxa"/>
            </w:tcMar>
            <w:hideMark/>
          </w:tcPr>
          <w:p w:rsidR="005A35BE" w:rsidRPr="00535C10" w:rsidRDefault="005A35BE" w:rsidP="003E6653">
            <w:pPr>
              <w:tabs>
                <w:tab w:val="left" w:pos="0"/>
              </w:tabs>
              <w:ind w:right="-1"/>
              <w:jc w:val="both"/>
              <w:rPr>
                <w:b/>
                <w:sz w:val="22"/>
                <w:szCs w:val="22"/>
              </w:rPr>
            </w:pPr>
            <w:r w:rsidRPr="00CA1E68">
              <w:rPr>
                <w:b/>
                <w:sz w:val="22"/>
                <w:szCs w:val="22"/>
              </w:rPr>
              <w:t>Park Alanı</w:t>
            </w:r>
          </w:p>
        </w:tc>
        <w:tc>
          <w:tcPr>
            <w:tcW w:w="272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9458</w:t>
            </w:r>
          </w:p>
        </w:tc>
        <w:tc>
          <w:tcPr>
            <w:tcW w:w="244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10026</w:t>
            </w:r>
          </w:p>
        </w:tc>
        <w:tc>
          <w:tcPr>
            <w:tcW w:w="2009"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568</w:t>
            </w:r>
          </w:p>
        </w:tc>
      </w:tr>
      <w:tr w:rsidR="005A35BE" w:rsidRPr="00535C10" w:rsidTr="003E6653">
        <w:trPr>
          <w:trHeight w:val="193"/>
          <w:tblCellSpacing w:w="0" w:type="dxa"/>
        </w:trPr>
        <w:tc>
          <w:tcPr>
            <w:tcW w:w="2149" w:type="dxa"/>
            <w:tcBorders>
              <w:top w:val="nil"/>
              <w:left w:val="single" w:sz="8" w:space="0" w:color="000000"/>
              <w:bottom w:val="single" w:sz="8" w:space="0" w:color="000000"/>
              <w:right w:val="single" w:sz="8" w:space="0" w:color="000000"/>
            </w:tcBorders>
            <w:tcMar>
              <w:top w:w="0" w:type="dxa"/>
              <w:left w:w="56" w:type="dxa"/>
              <w:bottom w:w="0" w:type="dxa"/>
              <w:right w:w="56" w:type="dxa"/>
            </w:tcMar>
            <w:hideMark/>
          </w:tcPr>
          <w:p w:rsidR="005A35BE" w:rsidRPr="00535C10" w:rsidRDefault="005A35BE" w:rsidP="003E6653">
            <w:pPr>
              <w:tabs>
                <w:tab w:val="left" w:pos="0"/>
              </w:tabs>
              <w:ind w:right="-1"/>
              <w:jc w:val="both"/>
              <w:rPr>
                <w:b/>
                <w:sz w:val="22"/>
                <w:szCs w:val="22"/>
              </w:rPr>
            </w:pPr>
            <w:r w:rsidRPr="00CA1E68">
              <w:rPr>
                <w:b/>
                <w:sz w:val="22"/>
                <w:szCs w:val="22"/>
              </w:rPr>
              <w:t>Rekreasyon Alanı</w:t>
            </w:r>
          </w:p>
        </w:tc>
        <w:tc>
          <w:tcPr>
            <w:tcW w:w="272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1094</w:t>
            </w:r>
          </w:p>
        </w:tc>
        <w:tc>
          <w:tcPr>
            <w:tcW w:w="244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1094</w:t>
            </w:r>
          </w:p>
        </w:tc>
        <w:tc>
          <w:tcPr>
            <w:tcW w:w="2009"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w:t>
            </w:r>
          </w:p>
        </w:tc>
      </w:tr>
      <w:tr w:rsidR="005A35BE" w:rsidRPr="00535C10" w:rsidTr="003E6653">
        <w:trPr>
          <w:trHeight w:val="193"/>
          <w:tblCellSpacing w:w="0" w:type="dxa"/>
        </w:trPr>
        <w:tc>
          <w:tcPr>
            <w:tcW w:w="2149" w:type="dxa"/>
            <w:tcBorders>
              <w:top w:val="nil"/>
              <w:left w:val="single" w:sz="8" w:space="0" w:color="000000"/>
              <w:bottom w:val="single" w:sz="8" w:space="0" w:color="000000"/>
              <w:right w:val="single" w:sz="8" w:space="0" w:color="000000"/>
            </w:tcBorders>
            <w:tcMar>
              <w:top w:w="0" w:type="dxa"/>
              <w:left w:w="56" w:type="dxa"/>
              <w:bottom w:w="0" w:type="dxa"/>
              <w:right w:w="56" w:type="dxa"/>
            </w:tcMar>
            <w:hideMark/>
          </w:tcPr>
          <w:p w:rsidR="005A35BE" w:rsidRPr="00535C10" w:rsidRDefault="005A35BE" w:rsidP="003E6653">
            <w:pPr>
              <w:tabs>
                <w:tab w:val="left" w:pos="0"/>
              </w:tabs>
              <w:ind w:right="-1"/>
              <w:jc w:val="both"/>
              <w:rPr>
                <w:b/>
                <w:sz w:val="22"/>
                <w:szCs w:val="22"/>
              </w:rPr>
            </w:pPr>
            <w:r w:rsidRPr="00CA1E68">
              <w:rPr>
                <w:b/>
                <w:sz w:val="22"/>
                <w:szCs w:val="22"/>
              </w:rPr>
              <w:t>Yol Alanı</w:t>
            </w:r>
          </w:p>
        </w:tc>
        <w:tc>
          <w:tcPr>
            <w:tcW w:w="272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568</w:t>
            </w:r>
          </w:p>
        </w:tc>
        <w:tc>
          <w:tcPr>
            <w:tcW w:w="244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w:t>
            </w:r>
          </w:p>
        </w:tc>
        <w:tc>
          <w:tcPr>
            <w:tcW w:w="2009"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sz w:val="22"/>
                <w:szCs w:val="22"/>
              </w:rPr>
            </w:pPr>
            <w:r w:rsidRPr="00535C10">
              <w:rPr>
                <w:sz w:val="22"/>
                <w:szCs w:val="22"/>
              </w:rPr>
              <w:t>-568</w:t>
            </w:r>
          </w:p>
        </w:tc>
      </w:tr>
      <w:tr w:rsidR="005A35BE" w:rsidRPr="00535C10" w:rsidTr="003E6653">
        <w:trPr>
          <w:trHeight w:val="193"/>
          <w:tblCellSpacing w:w="0" w:type="dxa"/>
        </w:trPr>
        <w:tc>
          <w:tcPr>
            <w:tcW w:w="2149" w:type="dxa"/>
            <w:tcBorders>
              <w:top w:val="nil"/>
              <w:left w:val="single" w:sz="8" w:space="0" w:color="000000"/>
              <w:bottom w:val="single" w:sz="8" w:space="0" w:color="000000"/>
              <w:right w:val="single" w:sz="8" w:space="0" w:color="000000"/>
            </w:tcBorders>
            <w:tcMar>
              <w:top w:w="0" w:type="dxa"/>
              <w:left w:w="56" w:type="dxa"/>
              <w:bottom w:w="0" w:type="dxa"/>
              <w:right w:w="56" w:type="dxa"/>
            </w:tcMar>
            <w:hideMark/>
          </w:tcPr>
          <w:p w:rsidR="005A35BE" w:rsidRPr="00535C10" w:rsidRDefault="005A35BE" w:rsidP="003E6653">
            <w:pPr>
              <w:tabs>
                <w:tab w:val="left" w:pos="0"/>
              </w:tabs>
              <w:ind w:right="-1"/>
              <w:jc w:val="both"/>
              <w:rPr>
                <w:b/>
                <w:sz w:val="22"/>
                <w:szCs w:val="22"/>
              </w:rPr>
            </w:pPr>
            <w:r w:rsidRPr="00CA1E68">
              <w:rPr>
                <w:b/>
                <w:sz w:val="22"/>
                <w:szCs w:val="22"/>
              </w:rPr>
              <w:t>TOPLAM</w:t>
            </w:r>
          </w:p>
        </w:tc>
        <w:tc>
          <w:tcPr>
            <w:tcW w:w="272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b/>
                <w:sz w:val="22"/>
                <w:szCs w:val="22"/>
              </w:rPr>
            </w:pPr>
            <w:r w:rsidRPr="00CA1E68">
              <w:rPr>
                <w:b/>
                <w:sz w:val="22"/>
                <w:szCs w:val="22"/>
              </w:rPr>
              <w:t>25544</w:t>
            </w:r>
          </w:p>
        </w:tc>
        <w:tc>
          <w:tcPr>
            <w:tcW w:w="2440"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jc w:val="center"/>
              <w:rPr>
                <w:b/>
                <w:sz w:val="22"/>
                <w:szCs w:val="22"/>
              </w:rPr>
            </w:pPr>
            <w:r w:rsidRPr="00CA1E68">
              <w:rPr>
                <w:b/>
                <w:sz w:val="22"/>
                <w:szCs w:val="22"/>
              </w:rPr>
              <w:t>25544</w:t>
            </w:r>
          </w:p>
        </w:tc>
        <w:tc>
          <w:tcPr>
            <w:tcW w:w="2009" w:type="dxa"/>
            <w:tcBorders>
              <w:top w:val="nil"/>
              <w:left w:val="nil"/>
              <w:bottom w:val="single" w:sz="8" w:space="0" w:color="000000"/>
              <w:right w:val="single" w:sz="8" w:space="0" w:color="000000"/>
            </w:tcBorders>
            <w:tcMar>
              <w:top w:w="0" w:type="dxa"/>
              <w:left w:w="56" w:type="dxa"/>
              <w:bottom w:w="0" w:type="dxa"/>
              <w:right w:w="56" w:type="dxa"/>
            </w:tcMar>
            <w:vAlign w:val="center"/>
            <w:hideMark/>
          </w:tcPr>
          <w:p w:rsidR="005A35BE" w:rsidRPr="00535C10" w:rsidRDefault="005A35BE" w:rsidP="003E6653">
            <w:pPr>
              <w:tabs>
                <w:tab w:val="left" w:pos="0"/>
              </w:tabs>
              <w:ind w:right="-1"/>
              <w:rPr>
                <w:b/>
                <w:sz w:val="22"/>
                <w:szCs w:val="22"/>
              </w:rPr>
            </w:pPr>
          </w:p>
        </w:tc>
      </w:tr>
    </w:tbl>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 xml:space="preserve">1- İmar planına esas olmak üzere hazırlanan jeolojik ve </w:t>
      </w:r>
      <w:proofErr w:type="spellStart"/>
      <w:r w:rsidRPr="00535C10">
        <w:t>jeoteknik</w:t>
      </w:r>
      <w:proofErr w:type="spellEnd"/>
      <w:r w:rsidRPr="00535C10">
        <w:t xml:space="preserve"> etüt, zemin etüdü yerine kullanılamaz. Yapılaşma öncesi ilgili yönetmelik ve genelge hükümleri ile bu plan notlarındaki uyarılar dikkate alınarak parsel bazında zemin etüdü yapılması zorunlu</w:t>
      </w:r>
      <w:r>
        <w:t>dur.</w:t>
      </w:r>
    </w:p>
    <w:p w:rsidR="005A35BE" w:rsidRDefault="005A35BE" w:rsidP="005A35BE">
      <w:pPr>
        <w:tabs>
          <w:tab w:val="left" w:pos="0"/>
        </w:tabs>
        <w:ind w:right="-1" w:firstLine="709"/>
        <w:jc w:val="both"/>
      </w:pPr>
      <w:r w:rsidRPr="00535C10">
        <w:t>2- Ankara Büyükşehir Belediyesi ASKİ Genel Müdürlüğü Planlama Koordinasyon ve Dış İlişkiler Dairesi Başkanlığı Planlama Şube Müdürlüğünün 13.08.2024 tarih ve 67078</w:t>
      </w:r>
      <w:r>
        <w:t>2 sayılı görüşüne uyulacaktır. </w:t>
      </w:r>
    </w:p>
    <w:p w:rsidR="005A35BE" w:rsidRDefault="005A35BE" w:rsidP="005A35BE">
      <w:pPr>
        <w:tabs>
          <w:tab w:val="left" w:pos="0"/>
        </w:tabs>
        <w:ind w:right="-1" w:firstLine="709"/>
        <w:jc w:val="both"/>
      </w:pPr>
      <w:r w:rsidRPr="00535C10">
        <w:t>3-Başkent Elektrik Dağıtım A.Ş</w:t>
      </w:r>
      <w:r>
        <w:t>.</w:t>
      </w:r>
      <w:r w:rsidRPr="00535C10">
        <w:t>'</w:t>
      </w:r>
      <w:proofErr w:type="spellStart"/>
      <w:r w:rsidRPr="00535C10">
        <w:t>nin</w:t>
      </w:r>
      <w:proofErr w:type="spellEnd"/>
      <w:r w:rsidRPr="00535C10">
        <w:t xml:space="preserve"> 13.06.2024 tarih 5998</w:t>
      </w:r>
      <w:r>
        <w:t>72 sayılı görüşüne uyulacaktır.</w:t>
      </w:r>
    </w:p>
    <w:p w:rsidR="005A35BE" w:rsidRDefault="005A35BE" w:rsidP="005A35BE">
      <w:pPr>
        <w:tabs>
          <w:tab w:val="left" w:pos="0"/>
        </w:tabs>
        <w:ind w:right="-1" w:firstLine="709"/>
        <w:jc w:val="both"/>
      </w:pPr>
      <w:r w:rsidRPr="00535C10">
        <w:t xml:space="preserve">- Yeşil alan, park bahçe sahalarında gerektiğinde teknik alt yapı tesisleri yer alabilir, gerek duyulduğunda, elektrik tesisleri park </w:t>
      </w:r>
      <w:r>
        <w:t>ve yeşil alanlarda yapılabilir.</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A35BE" w:rsidRPr="002D00A5" w:rsidTr="003E6653">
        <w:trPr>
          <w:trHeight w:val="1008"/>
        </w:trPr>
        <w:tc>
          <w:tcPr>
            <w:tcW w:w="3510" w:type="dxa"/>
          </w:tcPr>
          <w:p w:rsidR="005A35BE" w:rsidRPr="002D00A5" w:rsidRDefault="005A35BE" w:rsidP="003E6653">
            <w:pPr>
              <w:ind w:right="-1"/>
              <w:jc w:val="center"/>
            </w:pPr>
            <w:r w:rsidRPr="002D00A5">
              <w:t>T.C.</w:t>
            </w:r>
          </w:p>
          <w:p w:rsidR="005A35BE" w:rsidRPr="002D00A5" w:rsidRDefault="005A35BE" w:rsidP="003E6653">
            <w:pPr>
              <w:ind w:right="-1"/>
              <w:jc w:val="center"/>
            </w:pPr>
            <w:r w:rsidRPr="002D00A5">
              <w:t>ANKARA BÜYÜKŞEHİR</w:t>
            </w:r>
          </w:p>
          <w:p w:rsidR="005A35BE" w:rsidRPr="002D00A5" w:rsidRDefault="005A35BE" w:rsidP="003E6653">
            <w:pPr>
              <w:ind w:right="-1"/>
              <w:jc w:val="center"/>
            </w:pPr>
            <w:r w:rsidRPr="002D00A5">
              <w:t>BELEDİYE MECLİSİ</w:t>
            </w:r>
          </w:p>
        </w:tc>
      </w:tr>
    </w:tbl>
    <w:p w:rsidR="005A35BE" w:rsidRDefault="005A35BE" w:rsidP="005A35BE">
      <w:pPr>
        <w:tabs>
          <w:tab w:val="left" w:pos="1935"/>
          <w:tab w:val="left" w:pos="9356"/>
        </w:tabs>
        <w:ind w:right="-1"/>
        <w:jc w:val="both"/>
      </w:pPr>
    </w:p>
    <w:p w:rsidR="005A35BE" w:rsidRDefault="005A35BE" w:rsidP="005A35BE">
      <w:pPr>
        <w:tabs>
          <w:tab w:val="left" w:pos="1935"/>
          <w:tab w:val="left" w:pos="9356"/>
        </w:tabs>
        <w:ind w:right="-1"/>
        <w:jc w:val="both"/>
      </w:pPr>
    </w:p>
    <w:p w:rsidR="005A35BE" w:rsidRDefault="005A35BE" w:rsidP="005A35BE">
      <w:pPr>
        <w:tabs>
          <w:tab w:val="left" w:pos="0"/>
        </w:tabs>
        <w:ind w:right="-1"/>
        <w:jc w:val="both"/>
      </w:pPr>
      <w:r>
        <w:t>Karar No: 1020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5A35BE" w:rsidRDefault="005A35BE" w:rsidP="005A35BE">
      <w:pPr>
        <w:tabs>
          <w:tab w:val="left" w:pos="0"/>
        </w:tabs>
        <w:ind w:right="-1"/>
        <w:jc w:val="both"/>
      </w:pPr>
    </w:p>
    <w:p w:rsidR="005A35BE" w:rsidRDefault="005A35BE" w:rsidP="005A35BE">
      <w:pPr>
        <w:tabs>
          <w:tab w:val="left" w:pos="0"/>
        </w:tabs>
        <w:ind w:right="-1"/>
        <w:jc w:val="center"/>
      </w:pPr>
      <w:r>
        <w:t>-3-</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535C10">
        <w:t>4- Kadastro ile imar planı hattı arasındaki uyuşmazlıklardan kaynaklanan 2 metreye kadar olan kaymaları, yolun genişliği ve güzergâhı değişmemek kaydı ile dü</w:t>
      </w:r>
      <w:r>
        <w:t>zeltmeye belediyesi yetkilidir.</w:t>
      </w:r>
    </w:p>
    <w:p w:rsidR="005A35BE" w:rsidRDefault="005A35BE" w:rsidP="005A35BE">
      <w:pPr>
        <w:tabs>
          <w:tab w:val="left" w:pos="0"/>
        </w:tabs>
        <w:ind w:right="-1" w:firstLine="709"/>
        <w:jc w:val="both"/>
      </w:pPr>
    </w:p>
    <w:p w:rsidR="005A35BE" w:rsidRPr="00535C10" w:rsidRDefault="005A35BE" w:rsidP="005A35BE">
      <w:pPr>
        <w:tabs>
          <w:tab w:val="left" w:pos="0"/>
        </w:tabs>
        <w:ind w:right="-1" w:firstLine="709"/>
        <w:jc w:val="both"/>
      </w:pPr>
      <w:r w:rsidRPr="00535C10">
        <w:t>5-Planda belirtilmeyen hususlarda yürürlükteki Kızılcahamam Uygulama İmar Planı notları geçerlidir. Şeklinde 5 adet plan notunun belirlendiği,</w:t>
      </w:r>
    </w:p>
    <w:p w:rsidR="005A35BE" w:rsidRDefault="005A35BE" w:rsidP="005A35BE">
      <w:pPr>
        <w:tabs>
          <w:tab w:val="left" w:pos="0"/>
        </w:tabs>
        <w:ind w:right="-1" w:firstLine="709"/>
        <w:jc w:val="both"/>
      </w:pPr>
      <w:r w:rsidRPr="00535C10">
        <w:br/>
      </w:r>
      <w:r w:rsidRPr="00535C10">
        <w:rPr>
          <w:b/>
        </w:rPr>
        <w:t> </w:t>
      </w:r>
      <w:r w:rsidRPr="00535C10">
        <w:rPr>
          <w:b/>
        </w:rPr>
        <w:t> </w:t>
      </w:r>
      <w:r w:rsidRPr="00535C10">
        <w:rPr>
          <w:b/>
        </w:rPr>
        <w:t> </w:t>
      </w:r>
      <w:r w:rsidRPr="00CA1E68">
        <w:rPr>
          <w:b/>
        </w:rPr>
        <w:t>1/5000 ölçekli nazım imar planı değişikliği teklifinde;</w:t>
      </w:r>
      <w:r w:rsidRPr="00535C10">
        <w:t> nazım imar planı plan paftası üzerinde değişikliğe konu alan sınırı içerisinin Gelişme Konut Alanı(Düşük Yoğunluk), Sosyal Tesis Alanı(Lojman), İbadet Alanı, Park ve Rekreasyon alan ku</w:t>
      </w:r>
      <w:r>
        <w:t>llanımları olarak düzenlendiği,</w:t>
      </w:r>
    </w:p>
    <w:p w:rsidR="005A35BE" w:rsidRDefault="005A35BE" w:rsidP="005A35BE">
      <w:pPr>
        <w:tabs>
          <w:tab w:val="left" w:pos="0"/>
        </w:tabs>
        <w:ind w:right="-1" w:firstLine="709"/>
        <w:jc w:val="both"/>
      </w:pPr>
      <w:r w:rsidRPr="00535C10">
        <w:t xml:space="preserve">1- İmar planına esas olmak üzere hazırlanan jeolojik ve </w:t>
      </w:r>
      <w:proofErr w:type="spellStart"/>
      <w:r w:rsidRPr="00535C10">
        <w:t>jeoteknik</w:t>
      </w:r>
      <w:proofErr w:type="spellEnd"/>
      <w:r w:rsidRPr="00535C10">
        <w:t xml:space="preserve"> etüt, zemin etüdü yerine kullanılamaz. Yapılaşma öncesi ilgili yönetmelik ve genelge hükümleri ile bu plan notlarındaki uyarılar dikkate alınarak parsel bazında ze</w:t>
      </w:r>
      <w:r>
        <w:t>min etüdü yapılması zorunludur.</w:t>
      </w:r>
    </w:p>
    <w:p w:rsidR="005A35BE" w:rsidRDefault="005A35BE" w:rsidP="005A35BE">
      <w:pPr>
        <w:tabs>
          <w:tab w:val="left" w:pos="0"/>
        </w:tabs>
        <w:ind w:right="-1" w:firstLine="709"/>
        <w:jc w:val="both"/>
      </w:pPr>
      <w:r w:rsidRPr="00535C10">
        <w:t xml:space="preserve">2- Planda belirtilmeyen hususlarda yürürlükteki Kızılcahamam Uygulama İmar </w:t>
      </w:r>
      <w:r>
        <w:t>Planı plan notları geçerlidir. </w:t>
      </w:r>
    </w:p>
    <w:p w:rsidR="005A35BE" w:rsidRDefault="005A35BE" w:rsidP="005A35BE">
      <w:pPr>
        <w:tabs>
          <w:tab w:val="left" w:pos="0"/>
        </w:tabs>
        <w:ind w:right="-1" w:firstLine="709"/>
        <w:jc w:val="both"/>
      </w:pPr>
      <w:r>
        <w:t>Ş</w:t>
      </w:r>
      <w:r w:rsidRPr="00535C10">
        <w:t xml:space="preserve">eklinde 2 </w:t>
      </w:r>
      <w:r>
        <w:t>adet plan notunun belirlendiği,</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CA1E68">
        <w:rPr>
          <w:b/>
        </w:rPr>
        <w:t>Başkanlığımızca yapılan değerlendirmede</w:t>
      </w:r>
      <w:r w:rsidRPr="00535C10">
        <w:rPr>
          <w:b/>
        </w:rPr>
        <w:t>;</w:t>
      </w:r>
      <w:r w:rsidRPr="00535C10">
        <w:t xml:space="preserve"> Mevcutta yer alan </w:t>
      </w:r>
      <w:proofErr w:type="spellStart"/>
      <w:r w:rsidRPr="00535C10">
        <w:t>SKT+Dini</w:t>
      </w:r>
      <w:proofErr w:type="spellEnd"/>
      <w:r w:rsidRPr="00535C10">
        <w:t xml:space="preserve"> Tesis alanının büyüklüğü azaltılarak parsel formunun düzenlendiği, ayrıca Mekânsal Planlar Yapım Yönetmeliğinde </w:t>
      </w:r>
      <w:proofErr w:type="spellStart"/>
      <w:r w:rsidRPr="00535C10">
        <w:t>SKT+Dini</w:t>
      </w:r>
      <w:proofErr w:type="spellEnd"/>
      <w:r w:rsidRPr="00535C10">
        <w:t xml:space="preserve"> Tesis alanı şeklinde bir kullanımın yer almadığı, ancak öneri uygulama imar pafta üzerinde "</w:t>
      </w:r>
      <w:proofErr w:type="spellStart"/>
      <w:r w:rsidRPr="00535C10">
        <w:t>SKT+Dini</w:t>
      </w:r>
      <w:proofErr w:type="spellEnd"/>
      <w:r w:rsidRPr="00535C10">
        <w:t xml:space="preserve"> Tesis Alanı" olarak sunulduğu, ayrıca </w:t>
      </w:r>
      <w:proofErr w:type="spellStart"/>
      <w:r w:rsidRPr="00535C10">
        <w:t>SKT+Dini</w:t>
      </w:r>
      <w:proofErr w:type="spellEnd"/>
      <w:r w:rsidRPr="00535C10">
        <w:t xml:space="preserve"> Tesis Alanı kullanım</w:t>
      </w:r>
      <w:r>
        <w:t>ında E:0.50 Yençok:2kat olduğu,</w:t>
      </w:r>
    </w:p>
    <w:p w:rsidR="005A35BE" w:rsidRDefault="005A35BE" w:rsidP="005A35BE">
      <w:pPr>
        <w:tabs>
          <w:tab w:val="left" w:pos="0"/>
        </w:tabs>
        <w:ind w:right="-1" w:firstLine="709"/>
        <w:jc w:val="both"/>
      </w:pPr>
      <w:r w:rsidRPr="00535C10">
        <w:t>Öneri değişiklik ile Sosyal Tesis Alanı</w:t>
      </w:r>
      <w:r>
        <w:t xml:space="preserve"> </w:t>
      </w:r>
      <w:r w:rsidRPr="00535C10">
        <w:t>(lojman) kullanımında TAKS/KAKS=0.15/0.30 2 katlı ayrık nizamda konut yapılması şeklinde düzenlendiği</w:t>
      </w:r>
      <w:r>
        <w:t xml:space="preserve"> ve nüfus artışı barındırdığı, </w:t>
      </w:r>
    </w:p>
    <w:p w:rsidR="005A35BE" w:rsidRDefault="005A35BE" w:rsidP="005A35BE">
      <w:pPr>
        <w:tabs>
          <w:tab w:val="left" w:pos="0"/>
        </w:tabs>
        <w:ind w:right="-1" w:firstLine="709"/>
        <w:jc w:val="both"/>
      </w:pPr>
    </w:p>
    <w:p w:rsidR="005A35BE" w:rsidRDefault="005A35BE" w:rsidP="005A35BE">
      <w:pPr>
        <w:tabs>
          <w:tab w:val="left" w:pos="0"/>
        </w:tabs>
        <w:ind w:right="-1" w:firstLine="709"/>
        <w:jc w:val="both"/>
      </w:pPr>
      <w:r w:rsidRPr="004F03D0">
        <w:t>Değişikliğe konu uygulama imar planı 3 no.lu plan notunda plan değişikliği olmaksızın park alanı içerisinde teknik altyapı tesislerinin yapılabileceğine yönelik hüküm bulunduğu, ayrıca ilçe meclis kararı ile plan açıklama raporu ve plan paftaları üzerinden alan büyüklerinde (m</w:t>
      </w:r>
      <w:r w:rsidRPr="00F41AA6">
        <w:rPr>
          <w:vertAlign w:val="superscript"/>
        </w:rPr>
        <w:t>2</w:t>
      </w:r>
      <w:r w:rsidRPr="004F03D0">
        <w:t>) bazı farklılıkların olduğu, değerlendirilmekle birlikte sunulan plan değişikliği teklifi hakkında yazımızda belirtilen hususlar ve ilgili mevzuat hükümleri çerçevesinde Belediyemiz Meclisince karar alınması gerektiği görüş ve sonucuna varıldığı,</w:t>
      </w:r>
    </w:p>
    <w:p w:rsidR="005A35BE" w:rsidRDefault="005A35BE" w:rsidP="005A35BE">
      <w:pPr>
        <w:tabs>
          <w:tab w:val="left" w:pos="0"/>
        </w:tabs>
        <w:ind w:right="-1" w:firstLine="709"/>
        <w:jc w:val="both"/>
      </w:pPr>
    </w:p>
    <w:p w:rsidR="00C2180B" w:rsidRDefault="005A35BE" w:rsidP="005A35BE">
      <w:pPr>
        <w:tabs>
          <w:tab w:val="left" w:pos="0"/>
        </w:tabs>
        <w:ind w:right="-1" w:firstLine="709"/>
        <w:jc w:val="both"/>
      </w:pPr>
      <w:r>
        <w:t>Hususları tespit edilmiş olup,</w:t>
      </w:r>
      <w:r w:rsidRPr="00535C10">
        <w:t xml:space="preserve"> Kızılcahamam İlçesi Kemalpaşa Maha</w:t>
      </w:r>
      <w:r>
        <w:t xml:space="preserve">llesi 574 ve 575 adalarda </w:t>
      </w:r>
      <w:r w:rsidRPr="00535C10">
        <w:t>1/1000 ölçekli uygulama imar planı değişikliği ve tavsiye niteliğindeki 1/5000 ölçekli nazım i</w:t>
      </w:r>
      <w:r>
        <w:t xml:space="preserve">mar planı değişikliği teklifinin 1/1000 ölçekli uygulama imar planının 3 no.lu plan notundaki “…Yeşil alan, park bahçe sahalarında gerektiğinde teknik altyapı tesisleri yer alabilir, gerek duyulduğunda, elektrik tesisleri park ve yeşil alanlarda yapılabilir…” kısmı iptal edilmek suretiyle </w:t>
      </w:r>
      <w:r w:rsidRPr="007622C5">
        <w:t>“</w:t>
      </w:r>
      <w:proofErr w:type="spellStart"/>
      <w:r>
        <w:t>tadilen</w:t>
      </w:r>
      <w:proofErr w:type="spellEnd"/>
      <w:r>
        <w:t xml:space="preserve"> </w:t>
      </w:r>
      <w:proofErr w:type="spellStart"/>
      <w:r w:rsidRPr="007622C5">
        <w:t>onayı”</w:t>
      </w:r>
      <w:r w:rsidR="00A96CBE">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9B8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1F31-7A33-4729-BCE9-E2DDDBB0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7850</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2025-07-09T08:41:00Z</dcterms:created>
  <dcterms:modified xsi:type="dcterms:W3CDTF">2025-07-09T08:41:00Z</dcterms:modified>
</cp:coreProperties>
</file>