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605B4">
        <w:t>1110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E5D3C" w:rsidRDefault="005E5D3C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5E5D3C" w:rsidRDefault="005E5D3C" w:rsidP="00AA7ED1">
      <w:pPr>
        <w:ind w:right="-1"/>
      </w:pPr>
      <w:bookmarkStart w:id="0" w:name="_GoBack"/>
      <w:bookmarkEnd w:id="0"/>
    </w:p>
    <w:p w:rsidR="00EC582E" w:rsidRDefault="00B605B4" w:rsidP="00AA7ED1">
      <w:pPr>
        <w:ind w:right="-1" w:firstLine="708"/>
        <w:jc w:val="both"/>
      </w:pPr>
      <w:r w:rsidRPr="000074F3">
        <w:t>Yenimahalle İlçesi Batıkent İkinci Yüzyıl Rekreasyon Parkı içerisinde bulunan sergi salonunda kadın girişimcilere yer teminine ilişkin</w:t>
      </w:r>
      <w:r>
        <w:t xml:space="preserve"> Kadın ve Erkek Fırsat Eşitliği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8A4755"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B605B4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B605B4">
        <w:t>Yenimahalle İlçesi Batıkent İkinci Yüzyıl Rekreasyon Parkı içerisinde bulunan sergi salonunda, kadın girişimcilerin evlerinde ve kurslarda yaptıkları ürünleri satabilmeleri için yer temin edilmesine</w:t>
      </w:r>
      <w:r w:rsidR="002C37BF">
        <w:t xml:space="preserve"> </w:t>
      </w:r>
      <w:r w:rsidRPr="00896330">
        <w:t xml:space="preserve">ilişkin </w:t>
      </w:r>
      <w:r w:rsidR="00B605B4">
        <w:t xml:space="preserve">Kadın ve Erkek Fırsat Eşitliği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5D3C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2FBC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60A8-0F5B-4CA0-93BD-D0F3940D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2025-07-11T08:17:00Z</cp:lastPrinted>
  <dcterms:created xsi:type="dcterms:W3CDTF">2025-07-11T07:56:00Z</dcterms:created>
  <dcterms:modified xsi:type="dcterms:W3CDTF">2025-07-11T08:17:00Z</dcterms:modified>
</cp:coreProperties>
</file>