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3D29DD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D29DD" w:rsidP="00AA7ED1">
      <w:pPr>
        <w:ind w:right="-1" w:firstLine="708"/>
        <w:jc w:val="both"/>
      </w:pPr>
      <w:r>
        <w:t>Kızılcahamam İlçesi Kınık Mahallesinin kilit taşı talebinin karşılanmasına</w:t>
      </w:r>
      <w:r w:rsidR="00CB68B7">
        <w:t xml:space="preserve"> </w:t>
      </w:r>
      <w:r w:rsidR="003D76B3">
        <w:t xml:space="preserve">ilişkin </w:t>
      </w:r>
      <w:r w:rsidRPr="00C1697D">
        <w:t>Çevre İlçeleri Yatırım İzleme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84516D"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3D29DD">
        <w:t>Kızılcahamam İlçesi Kınık Mahallesinin kilit taşı talebinin karşılanması</w:t>
      </w:r>
      <w:r w:rsidR="003D29DD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3D29DD" w:rsidRPr="00C1697D">
        <w:t>Çevre İlçeleri Yatırım İzleme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AE8B-6F8E-42E9-95DC-21A1C8DA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2025-06-16T07:27:00Z</dcterms:created>
  <dcterms:modified xsi:type="dcterms:W3CDTF">2025-06-16T07:27:00Z</dcterms:modified>
</cp:coreProperties>
</file>