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D5409E">
        <w:t>9</w:t>
      </w:r>
      <w:r w:rsidR="00160527">
        <w:t>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6A3CC8">
        <w:t>1</w:t>
      </w:r>
      <w:r w:rsidR="00D5409E">
        <w:t>4</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160527" w:rsidP="00AA7ED1">
      <w:pPr>
        <w:ind w:right="-1" w:firstLine="708"/>
        <w:jc w:val="both"/>
      </w:pPr>
      <w:r>
        <w:t xml:space="preserve">Gölbaşı İlçesi Güneybatı Ankara Planlama Bölgesi 2 no.lu mevzi planlı bölgede </w:t>
      </w:r>
      <w:r w:rsidRPr="00730B0C">
        <w:t xml:space="preserve">1/5000 </w:t>
      </w:r>
      <w:r>
        <w:t xml:space="preserve">ve </w:t>
      </w:r>
      <w:r w:rsidRPr="00730B0C">
        <w:t xml:space="preserve">1/1000 ölçekli imar plan </w:t>
      </w:r>
      <w:r>
        <w:t xml:space="preserve">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4A4445">
        <w:t>2</w:t>
      </w:r>
      <w:r>
        <w:t>8</w:t>
      </w:r>
      <w:r w:rsidR="00005846">
        <w:t>.</w:t>
      </w:r>
      <w:r w:rsidR="006A3CC8">
        <w:t>05</w:t>
      </w:r>
      <w:r w:rsidR="00B52587">
        <w:t>.2025</w:t>
      </w:r>
      <w:r w:rsidR="00EC582E" w:rsidRPr="00E35A5A">
        <w:t xml:space="preserve"> tarihli ve </w:t>
      </w:r>
      <w:r>
        <w:t>89</w:t>
      </w:r>
      <w:r w:rsidR="0028089D">
        <w:t xml:space="preserve"> </w:t>
      </w:r>
      <w:r w:rsidR="00EC582E" w:rsidRPr="00E35A5A">
        <w:t xml:space="preserve">sayılı Raporu Büyükşehir Belediye Meclisinin </w:t>
      </w:r>
      <w:r w:rsidR="006A3CC8">
        <w:t>1</w:t>
      </w:r>
      <w:r w:rsidR="00D5409E">
        <w:t>4</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60527" w:rsidRDefault="00EC582E" w:rsidP="00160527">
      <w:pPr>
        <w:tabs>
          <w:tab w:val="left" w:pos="0"/>
        </w:tabs>
        <w:ind w:right="-1" w:firstLine="709"/>
        <w:jc w:val="both"/>
      </w:pPr>
      <w:r w:rsidRPr="00E35A5A">
        <w:t>Konu üzerinde yapılan görüşmelerde;</w:t>
      </w:r>
      <w:r w:rsidR="004A4445">
        <w:t xml:space="preserve"> </w:t>
      </w:r>
      <w:r w:rsidR="00160527" w:rsidRPr="00DA558E">
        <w:t>Gölbaşı Bel</w:t>
      </w:r>
      <w:r w:rsidR="00160527">
        <w:t>ediye Başkanlığının</w:t>
      </w:r>
      <w:r w:rsidR="00160527" w:rsidRPr="00DA558E">
        <w:t xml:space="preserve"> 05.12.2024 tarihli ve </w:t>
      </w:r>
      <w:r w:rsidR="00160527">
        <w:t>E</w:t>
      </w:r>
      <w:r w:rsidR="00160527" w:rsidRPr="00DA558E">
        <w:t>-31118 sayıl</w:t>
      </w:r>
      <w:r w:rsidR="00160527">
        <w:t xml:space="preserve">ı yazı </w:t>
      </w:r>
      <w:proofErr w:type="gramStart"/>
      <w:r w:rsidR="00160527">
        <w:t>ile,</w:t>
      </w:r>
      <w:proofErr w:type="gramEnd"/>
      <w:r w:rsidR="00160527">
        <w:t xml:space="preserve"> Güneybatı Ankara Planlama Bölgesi 2 no.lu mevzi planlı bölgeye yönelik Gölbaşı Belediye Meclisinin 04.11.2024 gün ve 380 sayılı Kararı ile uygun görülen 1/1000 ölçekli Uygulama İmar Planı ve tavsiye niteliğindeki 1/5000 ölçekli Nazım İmar Planı, 5216 sayılı Kanun uyarınca gereği için </w:t>
      </w:r>
      <w:r w:rsidR="00160527" w:rsidRPr="00DA558E">
        <w:t>İmar ve Şehircilik Dairesi Başkanlığı</w:t>
      </w:r>
      <w:r w:rsidR="00160527">
        <w:t>na sunulduğu,</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rPr>
          <w:b/>
        </w:rPr>
      </w:pPr>
      <w:r w:rsidRPr="00DA558E">
        <w:rPr>
          <w:b/>
        </w:rPr>
        <w:t>Yapılan incelemede;</w:t>
      </w:r>
    </w:p>
    <w:p w:rsidR="00160527" w:rsidRDefault="00160527" w:rsidP="00160527">
      <w:pPr>
        <w:tabs>
          <w:tab w:val="left" w:pos="0"/>
        </w:tabs>
        <w:ind w:right="-1" w:firstLine="709"/>
        <w:jc w:val="both"/>
        <w:rPr>
          <w:b/>
        </w:rPr>
      </w:pPr>
    </w:p>
    <w:p w:rsidR="00160527" w:rsidRDefault="00160527" w:rsidP="00160527">
      <w:pPr>
        <w:tabs>
          <w:tab w:val="left" w:pos="0"/>
        </w:tabs>
        <w:ind w:right="-1" w:firstLine="709"/>
        <w:jc w:val="both"/>
      </w:pPr>
      <w:r w:rsidRPr="00DA558E">
        <w:rPr>
          <w:b/>
        </w:rPr>
        <w:t>Teklife Konu Alanın Mülkiyet ve Mevcut İmar Durumunun</w:t>
      </w:r>
      <w:r>
        <w:t xml:space="preserve">, Toplam yaklaşık 30 ha alanı kapsayan plan teklifine konu alanın Büyükşehir Belediye Meclisi'nin 12.08.2018 gün ve 1360 sayılı Kararı ile onaylanan ve plana yapılan itirazların kısmen kabul kısmen reddedilerek Büyükşehir Belediye Meclisi’nin 13.02.2019 gün ve 194 sayılı Kararı ile kesinleşen Tuluntaş Koparan Mahalleleri Kentsel Dönüşüm ve Gelişim Proje Alanı ve yakın çevresine ait 1/5000 ölçekli Nazım ve 1/1000 ölçekli Uygulama İmar Planı kapsamında kaldığı, Ancak; TMMOB Mimarlar Odası tarafından Ankara 4. İdare Mahkemesi nezdinde açılan davalarda E.2018/2526, K.2020/850 ve E. 2019/1454, K.2020/852 sayılı Kararlar ile dava konusu planların özetle; Nüfus yoğunluğuna ilişkin olarak, 1/25000 ölçekli nazım imar planı yoğunluk kararı ile dava konusu 1/5000 ölçekli nazım imar planı ile ve 1/1000 ölçekli uygulama imar planı ile getirilen yoğunluk Kararlarının, farklı olduğu, anılan planlar arasında farklı yoğunluklar belirlendiği, ayrıca 1/100.000 ölçekli 2038 Ankara Çevre Düzeni Planında tarımsal alanların geliştirilmesi ve korunmasına yönelik Kararlara tam olarak uyulmadığı anlaşıldığından, dava konusu 1/5000 ölçekli nazım imar planı ile ve 1/1000 ölçekli uygulama imar planının üst ölçekli 1/25000 ve 1/100.000 ölçekli planlara belirtilen yönlerden aykırı olduğu, Planlar arası tutarlılık sağlanmaksızın ve yoğunluk kararları korunmaksızın Ankara İli, Gölbaşı İlçesi, Tuluntaş ve Koparan Mahalleleri Kentsel Dönüşüm ve Gelişim Proje Alanı ve yakın çevresine ilişkin olarak yapılan ve Büyükşehir Belediye Meclisi'nin 12.08.2018 gün ve 1360 sayılı Kararı ile onaylanan 1/5000 ölçekli nazım imar planı ve 1/1000 ölçekli uygulama imar planında 3194 sayılı İmar Kanunu'na Mekânsal Planlar Yapım Yönetmeliği hükümleri ve diğer ilgili mevzuat ile belirlenen usul ve esaslar ile planlama ilkeleri ve şehircilik esaslarına, planların kademeli birlikteliği ilkesine uygunluk bulunmadığı sonucuna varıldığı belirtilerek açıklanan </w:t>
      </w:r>
      <w:proofErr w:type="spellStart"/>
      <w:r>
        <w:t>nedenlerle’’iptal</w:t>
      </w:r>
      <w:proofErr w:type="spellEnd"/>
      <w:r>
        <w:t xml:space="preserve"> edildiği,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60527" w:rsidRPr="002D00A5" w:rsidTr="005D664C">
        <w:trPr>
          <w:trHeight w:val="1008"/>
        </w:trPr>
        <w:tc>
          <w:tcPr>
            <w:tcW w:w="3510" w:type="dxa"/>
          </w:tcPr>
          <w:p w:rsidR="00160527" w:rsidRPr="002D00A5" w:rsidRDefault="00160527" w:rsidP="005D664C">
            <w:pPr>
              <w:ind w:right="-1"/>
              <w:jc w:val="center"/>
            </w:pPr>
            <w:r w:rsidRPr="002D00A5">
              <w:t>T.C.</w:t>
            </w:r>
          </w:p>
          <w:p w:rsidR="00160527" w:rsidRPr="002D00A5" w:rsidRDefault="00160527" w:rsidP="005D664C">
            <w:pPr>
              <w:ind w:right="-1"/>
              <w:jc w:val="center"/>
            </w:pPr>
            <w:r w:rsidRPr="002D00A5">
              <w:t>ANKARA BÜYÜKŞEHİR</w:t>
            </w:r>
          </w:p>
          <w:p w:rsidR="00160527" w:rsidRPr="002D00A5" w:rsidRDefault="00160527" w:rsidP="005D664C">
            <w:pPr>
              <w:ind w:right="-1"/>
              <w:jc w:val="center"/>
            </w:pPr>
            <w:r w:rsidRPr="002D00A5">
              <w:t>BELEDİYE MECLİSİ</w:t>
            </w:r>
          </w:p>
        </w:tc>
      </w:tr>
    </w:tbl>
    <w:p w:rsidR="00160527" w:rsidRDefault="00160527" w:rsidP="00160527">
      <w:pPr>
        <w:tabs>
          <w:tab w:val="left" w:pos="1935"/>
          <w:tab w:val="left" w:pos="9356"/>
        </w:tabs>
        <w:ind w:right="-1"/>
        <w:jc w:val="both"/>
      </w:pPr>
    </w:p>
    <w:p w:rsidR="00160527" w:rsidRDefault="00160527" w:rsidP="00160527">
      <w:pPr>
        <w:tabs>
          <w:tab w:val="left" w:pos="1935"/>
          <w:tab w:val="left" w:pos="9356"/>
        </w:tabs>
        <w:ind w:right="-1"/>
        <w:jc w:val="both"/>
      </w:pPr>
    </w:p>
    <w:p w:rsidR="00160527" w:rsidRDefault="00160527" w:rsidP="00160527">
      <w:pPr>
        <w:ind w:right="-1"/>
        <w:jc w:val="both"/>
      </w:pPr>
      <w:r>
        <w:t>Karar No: 960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14.06.2025</w:t>
      </w:r>
    </w:p>
    <w:p w:rsidR="00160527" w:rsidRDefault="00160527" w:rsidP="00160527">
      <w:pPr>
        <w:tabs>
          <w:tab w:val="left" w:pos="0"/>
        </w:tabs>
        <w:ind w:right="-1"/>
        <w:jc w:val="center"/>
      </w:pPr>
    </w:p>
    <w:p w:rsidR="00160527" w:rsidRDefault="00160527" w:rsidP="00160527">
      <w:pPr>
        <w:tabs>
          <w:tab w:val="left" w:pos="0"/>
        </w:tabs>
        <w:ind w:right="-1"/>
        <w:jc w:val="center"/>
      </w:pPr>
      <w:r>
        <w:t>-2-</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Teklife konu Mevzi imar planlarının plansız konumda kaldığı, Planlama alanının daha öncesinde;  Mevzi İmar Planı olarak hazırlandığı, “129, 130, 131, 132, 133, 143, 1084, 1092, 1095 No.lu Parseller Uygulama İmar Planı” başlığı ile Gölbaşı Belediyesinin 06.02.1996 tarih, Ankara Valiliği - Bayındırlık ve İskân Müdürlüğü’nün 06.02.1996 tarih 176 Esas ve 4/K-35 SAYILI kararları ile uygun görülen İmar Planı 15.07.1996 gün ve 1515-471 sayılı Valilik Olur’u ile 4 paftadan oluşan Mevzii Pafta sisteminde onaylandığı,</w:t>
      </w:r>
    </w:p>
    <w:p w:rsidR="00160527" w:rsidRDefault="00160527" w:rsidP="00160527">
      <w:pPr>
        <w:tabs>
          <w:tab w:val="left" w:pos="0"/>
        </w:tabs>
        <w:ind w:right="-1"/>
        <w:jc w:val="both"/>
      </w:pPr>
    </w:p>
    <w:p w:rsidR="00160527" w:rsidRDefault="00160527" w:rsidP="00160527">
      <w:pPr>
        <w:tabs>
          <w:tab w:val="left" w:pos="0"/>
        </w:tabs>
        <w:ind w:right="-1" w:firstLine="709"/>
        <w:jc w:val="both"/>
      </w:pPr>
      <w:r w:rsidRPr="00B73535">
        <w:rPr>
          <w:b/>
        </w:rPr>
        <w:t>Plan Teklifi ve Açıklama Raporunda</w:t>
      </w:r>
      <w:r>
        <w:t>, Mahkeme kararları ile imar planları iptal edilen bölgede yeniden imar planları hazırlanması gerekliliğinin doğduğu, Güneybatı Ankara Planlama Bölgesi Tuluntaş ve Koparan Mahalleleri sınırında imar planı yürürlükte bulunmayan mevzi planlı alanları kapsayan planlama alanının fiziki eşikler, plan bütünlüğü ve mevzi plan sınırları dikkate alınarak etaplar halinde, mevzi plan yapılaşma kararları korunarak ve güncel imar mevzuatı dikkate alınarak yeniden hazırlandığının belirtildiği,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rsidRPr="00B73535">
        <w:rPr>
          <w:b/>
        </w:rPr>
        <w:t>1/1000 Ölçekli Uygulama İmar Planı Teklifinde</w:t>
      </w:r>
      <w:r>
        <w:t>, Planlama alanında mevzi planlarına uygun olarak Konut Alanı, Ticaret Alanı, Sağlık Tesisleri Alanı, Sosyal Tesis Alanı, Sosyal ve Kültürel Tesisler Alanı, Teknik Altyapı Alanı ve Yeşil Alanlar planlandığı,</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Konut alanları planlanırken, mevcut yapılar ile imar uygulamaları dikkate alınarak hareket edildiği, arazi-kadastro-plan uyumsuzluğu giderildiği,  bu kapsamda imar yolları ve ada düzenlemeleri yeniden ele alındığı, mülkiyet yapısına dikkat edilerek düzenlemeler yapıldığının belirtilerek, özellikle kuzeydoğusunda Tulumtaş Mağarası koruma sınırları içerisine giren 2 imar adası ortasındaki park şeridi konut adasına dahil edilerek, sınırlar içerisinde kalan kesimleri ise kaldırım kullanımında bırakılarak yeniden düzenlendiğinin belirtildiği,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 xml:space="preserve">Planlama alanı içerisindeki konut alanları için Emsal (E): 0.30 ve </w:t>
      </w:r>
      <w:proofErr w:type="spellStart"/>
      <w:r>
        <w:t>Yençok</w:t>
      </w:r>
      <w:proofErr w:type="spellEnd"/>
      <w:r>
        <w:t xml:space="preserve"> = 2 kat olarak önerildiği, maksimum konut sayıları da adalar üzerinde gösterildiği,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Arazi kullanıma bakıldığında büyük parsel tercihine bağlı olarak mevcut durumda yapılaşmış halde 209 bağımsız birimin bulunduğunun belirtildiği, boş olan adalardaki maksimum konut sayısı plan üzerinde yazan değerlere göre hesaplandığında 86 birim, boş ve dolu parsel toplamı ise 295 adet olduğu, bu rakam imar planında adalar üzerinde yazan maksimum konut sayısının toplamı olan 346 rakamından da düşük bir sayı olduğunun belirtildiği,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 xml:space="preserve">Aile büyüklüğünün 2021 yılı için 3.11 olduğu ve parselde tek bir birimin yer alacağı göz önüne alındığında (295 x 3,11) 917 kişi maksimum nüfus olacağı,  </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 xml:space="preserve">Planlama alanı içerisinde E:0.75 Yençok:2 Kat yapılaşma koşulları ile Ticaret Alanı, E:0,60 Yençok:2 Kat yapılaşma koşulları ile Sağlık Tesisleri Alanı, E:0,60 Yençok:2 Kat yapılaşma koşulları ile </w:t>
      </w:r>
      <w:proofErr w:type="spellStart"/>
      <w:r>
        <w:t>Sosyo</w:t>
      </w:r>
      <w:proofErr w:type="spellEnd"/>
      <w:r>
        <w:t>- Kültürel Tesisler Alanı, E:0,60 Yençok:2 Kat yapılaşma koşulları ile Sosyal Tesis Alanı, Park ve Teknik Altyapı Alanları önerildiği,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60527" w:rsidRPr="002D00A5" w:rsidTr="005D664C">
        <w:trPr>
          <w:trHeight w:val="1008"/>
        </w:trPr>
        <w:tc>
          <w:tcPr>
            <w:tcW w:w="3510" w:type="dxa"/>
          </w:tcPr>
          <w:p w:rsidR="00160527" w:rsidRPr="002D00A5" w:rsidRDefault="00160527" w:rsidP="005D664C">
            <w:pPr>
              <w:ind w:right="-1"/>
              <w:jc w:val="center"/>
            </w:pPr>
            <w:r w:rsidRPr="002D00A5">
              <w:t>T.C.</w:t>
            </w:r>
          </w:p>
          <w:p w:rsidR="00160527" w:rsidRPr="002D00A5" w:rsidRDefault="00160527" w:rsidP="005D664C">
            <w:pPr>
              <w:ind w:right="-1"/>
              <w:jc w:val="center"/>
            </w:pPr>
            <w:r w:rsidRPr="002D00A5">
              <w:t>ANKARA BÜYÜKŞEHİR</w:t>
            </w:r>
          </w:p>
          <w:p w:rsidR="00160527" w:rsidRPr="002D00A5" w:rsidRDefault="00160527" w:rsidP="005D664C">
            <w:pPr>
              <w:ind w:right="-1"/>
              <w:jc w:val="center"/>
            </w:pPr>
            <w:r w:rsidRPr="002D00A5">
              <w:t>BELEDİYE MECLİSİ</w:t>
            </w:r>
          </w:p>
        </w:tc>
      </w:tr>
    </w:tbl>
    <w:p w:rsidR="00160527" w:rsidRDefault="00160527" w:rsidP="00160527">
      <w:pPr>
        <w:tabs>
          <w:tab w:val="left" w:pos="1935"/>
          <w:tab w:val="left" w:pos="9356"/>
        </w:tabs>
        <w:ind w:right="-1"/>
        <w:jc w:val="both"/>
      </w:pPr>
    </w:p>
    <w:p w:rsidR="00160527" w:rsidRDefault="00160527" w:rsidP="00160527">
      <w:pPr>
        <w:tabs>
          <w:tab w:val="left" w:pos="1935"/>
          <w:tab w:val="left" w:pos="9356"/>
        </w:tabs>
        <w:ind w:right="-1"/>
        <w:jc w:val="both"/>
      </w:pPr>
    </w:p>
    <w:p w:rsidR="00160527" w:rsidRDefault="00160527" w:rsidP="00160527">
      <w:pPr>
        <w:ind w:right="-1"/>
        <w:jc w:val="both"/>
      </w:pPr>
      <w:r>
        <w:t>Karar No: 960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14.06.2025</w:t>
      </w:r>
    </w:p>
    <w:p w:rsidR="00160527" w:rsidRDefault="00160527" w:rsidP="00160527">
      <w:pPr>
        <w:jc w:val="center"/>
      </w:pPr>
    </w:p>
    <w:p w:rsidR="00160527" w:rsidRDefault="00160527" w:rsidP="00160527">
      <w:pPr>
        <w:tabs>
          <w:tab w:val="left" w:pos="0"/>
        </w:tabs>
        <w:ind w:right="-1"/>
        <w:jc w:val="center"/>
      </w:pPr>
      <w:r>
        <w:t>-3-</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jc w:val="both"/>
      </w:pPr>
      <w:r>
        <w:tab/>
        <w:t>Planlama alanına ilişkin mevcut ve öneri alan dağılımının tablodaki gibi olduğu,</w:t>
      </w:r>
    </w:p>
    <w:p w:rsidR="00160527" w:rsidRDefault="00160527" w:rsidP="00160527">
      <w:pPr>
        <w:tabs>
          <w:tab w:val="left" w:pos="0"/>
        </w:tabs>
        <w:ind w:right="-1"/>
        <w:jc w:val="both"/>
      </w:pPr>
    </w:p>
    <w:tbl>
      <w:tblPr>
        <w:tblStyle w:val="TabloKlavuzu"/>
        <w:tblW w:w="9446" w:type="dxa"/>
        <w:tblLook w:val="04A0" w:firstRow="1" w:lastRow="0" w:firstColumn="1" w:lastColumn="0" w:noHBand="0" w:noVBand="1"/>
      </w:tblPr>
      <w:tblGrid>
        <w:gridCol w:w="4673"/>
        <w:gridCol w:w="1418"/>
        <w:gridCol w:w="992"/>
        <w:gridCol w:w="1134"/>
        <w:gridCol w:w="1229"/>
      </w:tblGrid>
      <w:tr w:rsidR="00160527" w:rsidTr="005D664C">
        <w:tc>
          <w:tcPr>
            <w:tcW w:w="4673" w:type="dxa"/>
            <w:vMerge w:val="restart"/>
            <w:vAlign w:val="center"/>
          </w:tcPr>
          <w:p w:rsidR="00160527" w:rsidRPr="00B42BBD" w:rsidRDefault="00160527" w:rsidP="005D664C">
            <w:pPr>
              <w:tabs>
                <w:tab w:val="left" w:pos="0"/>
              </w:tabs>
              <w:ind w:right="-1"/>
              <w:rPr>
                <w:b/>
                <w:sz w:val="22"/>
                <w:szCs w:val="22"/>
              </w:rPr>
            </w:pPr>
            <w:r w:rsidRPr="00B42BBD">
              <w:rPr>
                <w:b/>
                <w:sz w:val="22"/>
                <w:szCs w:val="22"/>
              </w:rPr>
              <w:t>Kullanım</w:t>
            </w:r>
          </w:p>
        </w:tc>
        <w:tc>
          <w:tcPr>
            <w:tcW w:w="2410" w:type="dxa"/>
            <w:gridSpan w:val="2"/>
            <w:vAlign w:val="center"/>
          </w:tcPr>
          <w:p w:rsidR="00160527" w:rsidRPr="00B42BBD" w:rsidRDefault="00160527" w:rsidP="005D664C">
            <w:pPr>
              <w:tabs>
                <w:tab w:val="left" w:pos="0"/>
              </w:tabs>
              <w:ind w:right="-1"/>
              <w:jc w:val="center"/>
              <w:rPr>
                <w:b/>
                <w:sz w:val="22"/>
                <w:szCs w:val="22"/>
              </w:rPr>
            </w:pPr>
            <w:r w:rsidRPr="00B42BBD">
              <w:rPr>
                <w:b/>
                <w:sz w:val="22"/>
                <w:szCs w:val="22"/>
              </w:rPr>
              <w:t>İlk Plan (Mevzi)</w:t>
            </w:r>
          </w:p>
        </w:tc>
        <w:tc>
          <w:tcPr>
            <w:tcW w:w="2363" w:type="dxa"/>
            <w:gridSpan w:val="2"/>
            <w:vAlign w:val="center"/>
          </w:tcPr>
          <w:p w:rsidR="00160527" w:rsidRPr="00B42BBD" w:rsidRDefault="00160527" w:rsidP="005D664C">
            <w:pPr>
              <w:tabs>
                <w:tab w:val="left" w:pos="0"/>
              </w:tabs>
              <w:ind w:right="-1"/>
              <w:jc w:val="center"/>
              <w:rPr>
                <w:b/>
                <w:sz w:val="22"/>
                <w:szCs w:val="22"/>
              </w:rPr>
            </w:pPr>
            <w:r w:rsidRPr="00B42BBD">
              <w:rPr>
                <w:b/>
                <w:sz w:val="22"/>
                <w:szCs w:val="22"/>
              </w:rPr>
              <w:t>Öneri</w:t>
            </w:r>
          </w:p>
        </w:tc>
      </w:tr>
      <w:tr w:rsidR="00160527" w:rsidTr="005D664C">
        <w:tc>
          <w:tcPr>
            <w:tcW w:w="4673" w:type="dxa"/>
            <w:vMerge/>
            <w:vAlign w:val="center"/>
          </w:tcPr>
          <w:p w:rsidR="00160527" w:rsidRPr="00B42BBD" w:rsidRDefault="00160527" w:rsidP="005D664C">
            <w:pPr>
              <w:tabs>
                <w:tab w:val="left" w:pos="0"/>
              </w:tabs>
              <w:ind w:right="-1"/>
              <w:rPr>
                <w:b/>
                <w:sz w:val="22"/>
                <w:szCs w:val="22"/>
              </w:rPr>
            </w:pPr>
          </w:p>
        </w:tc>
        <w:tc>
          <w:tcPr>
            <w:tcW w:w="1418" w:type="dxa"/>
            <w:vAlign w:val="center"/>
          </w:tcPr>
          <w:p w:rsidR="00160527" w:rsidRPr="00B42BBD" w:rsidRDefault="00160527" w:rsidP="005D664C">
            <w:pPr>
              <w:tabs>
                <w:tab w:val="left" w:pos="0"/>
              </w:tabs>
              <w:ind w:right="-1"/>
              <w:jc w:val="center"/>
              <w:rPr>
                <w:b/>
                <w:sz w:val="22"/>
                <w:szCs w:val="22"/>
              </w:rPr>
            </w:pPr>
            <w:r w:rsidRPr="00B42BBD">
              <w:rPr>
                <w:b/>
                <w:sz w:val="22"/>
                <w:szCs w:val="22"/>
              </w:rPr>
              <w:t>Alan (m²)</w:t>
            </w:r>
          </w:p>
        </w:tc>
        <w:tc>
          <w:tcPr>
            <w:tcW w:w="992" w:type="dxa"/>
            <w:vAlign w:val="center"/>
          </w:tcPr>
          <w:p w:rsidR="00160527" w:rsidRPr="00B42BBD" w:rsidRDefault="00160527" w:rsidP="005D664C">
            <w:pPr>
              <w:tabs>
                <w:tab w:val="left" w:pos="0"/>
              </w:tabs>
              <w:ind w:right="-1"/>
              <w:jc w:val="center"/>
              <w:rPr>
                <w:b/>
                <w:sz w:val="22"/>
                <w:szCs w:val="22"/>
              </w:rPr>
            </w:pPr>
            <w:r w:rsidRPr="00B42BBD">
              <w:rPr>
                <w:b/>
                <w:sz w:val="22"/>
                <w:szCs w:val="22"/>
              </w:rPr>
              <w:t>%</w:t>
            </w:r>
          </w:p>
        </w:tc>
        <w:tc>
          <w:tcPr>
            <w:tcW w:w="1134" w:type="dxa"/>
            <w:vAlign w:val="center"/>
          </w:tcPr>
          <w:p w:rsidR="00160527" w:rsidRPr="00B42BBD" w:rsidRDefault="00160527" w:rsidP="005D664C">
            <w:pPr>
              <w:tabs>
                <w:tab w:val="left" w:pos="0"/>
              </w:tabs>
              <w:ind w:right="-1"/>
              <w:jc w:val="center"/>
              <w:rPr>
                <w:b/>
                <w:sz w:val="22"/>
                <w:szCs w:val="22"/>
              </w:rPr>
            </w:pPr>
            <w:r w:rsidRPr="00B42BBD">
              <w:rPr>
                <w:b/>
                <w:sz w:val="22"/>
                <w:szCs w:val="22"/>
              </w:rPr>
              <w:t>Alan (m²)</w:t>
            </w:r>
          </w:p>
        </w:tc>
        <w:tc>
          <w:tcPr>
            <w:tcW w:w="1229" w:type="dxa"/>
            <w:vAlign w:val="center"/>
          </w:tcPr>
          <w:p w:rsidR="00160527" w:rsidRPr="00B42BBD" w:rsidRDefault="00160527" w:rsidP="005D664C">
            <w:pPr>
              <w:tabs>
                <w:tab w:val="left" w:pos="0"/>
              </w:tabs>
              <w:ind w:right="-1"/>
              <w:jc w:val="center"/>
              <w:rPr>
                <w:b/>
                <w:sz w:val="22"/>
                <w:szCs w:val="22"/>
              </w:rPr>
            </w:pPr>
            <w:r w:rsidRPr="00B42BBD">
              <w:rPr>
                <w:b/>
                <w:sz w:val="22"/>
                <w:szCs w:val="22"/>
              </w:rPr>
              <w:t>%</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Konut Alanı</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181269</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62,71</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181269</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62,71</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Park</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23729</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8,21</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22449</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7,77</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Yönetim Merkezi (Sosyal Tesis-Site Yönetimi)</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4170</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1,44</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0</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0</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Sosyal Tesis</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0</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0</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4170</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1,44</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Sağlık Tesisi</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6206</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2,15</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6206</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2,15</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Sosyal ve Kültürel Tesis</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1383</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0,48</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1383</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0,48</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Teknik Altyapı</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0</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0</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68</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0,02</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Ticaret</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2750</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0,95</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2750</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0,95</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Yollar</w:t>
            </w:r>
          </w:p>
        </w:tc>
        <w:tc>
          <w:tcPr>
            <w:tcW w:w="1418" w:type="dxa"/>
            <w:vAlign w:val="center"/>
          </w:tcPr>
          <w:p w:rsidR="00160527" w:rsidRPr="00B42BBD" w:rsidRDefault="00160527" w:rsidP="005D664C">
            <w:pPr>
              <w:tabs>
                <w:tab w:val="left" w:pos="0"/>
              </w:tabs>
              <w:ind w:right="-1"/>
              <w:jc w:val="center"/>
              <w:rPr>
                <w:sz w:val="22"/>
                <w:szCs w:val="22"/>
              </w:rPr>
            </w:pPr>
            <w:r w:rsidRPr="00B42BBD">
              <w:rPr>
                <w:sz w:val="22"/>
                <w:szCs w:val="22"/>
              </w:rPr>
              <w:t>69533</w:t>
            </w:r>
          </w:p>
        </w:tc>
        <w:tc>
          <w:tcPr>
            <w:tcW w:w="992" w:type="dxa"/>
            <w:vAlign w:val="center"/>
          </w:tcPr>
          <w:p w:rsidR="00160527" w:rsidRPr="00B42BBD" w:rsidRDefault="00160527" w:rsidP="005D664C">
            <w:pPr>
              <w:tabs>
                <w:tab w:val="left" w:pos="0"/>
              </w:tabs>
              <w:ind w:right="-1"/>
              <w:jc w:val="center"/>
              <w:rPr>
                <w:sz w:val="22"/>
                <w:szCs w:val="22"/>
              </w:rPr>
            </w:pPr>
            <w:r w:rsidRPr="00B42BBD">
              <w:rPr>
                <w:sz w:val="22"/>
                <w:szCs w:val="22"/>
              </w:rPr>
              <w:t>24.06</w:t>
            </w:r>
          </w:p>
        </w:tc>
        <w:tc>
          <w:tcPr>
            <w:tcW w:w="1134" w:type="dxa"/>
            <w:vAlign w:val="center"/>
          </w:tcPr>
          <w:p w:rsidR="00160527" w:rsidRPr="00B42BBD" w:rsidRDefault="00160527" w:rsidP="005D664C">
            <w:pPr>
              <w:tabs>
                <w:tab w:val="left" w:pos="0"/>
              </w:tabs>
              <w:ind w:right="-1"/>
              <w:jc w:val="center"/>
              <w:rPr>
                <w:sz w:val="22"/>
                <w:szCs w:val="22"/>
              </w:rPr>
            </w:pPr>
            <w:r w:rsidRPr="00B42BBD">
              <w:rPr>
                <w:sz w:val="22"/>
                <w:szCs w:val="22"/>
              </w:rPr>
              <w:t>70745</w:t>
            </w:r>
          </w:p>
        </w:tc>
        <w:tc>
          <w:tcPr>
            <w:tcW w:w="1229" w:type="dxa"/>
            <w:vAlign w:val="center"/>
          </w:tcPr>
          <w:p w:rsidR="00160527" w:rsidRPr="00B42BBD" w:rsidRDefault="00160527" w:rsidP="005D664C">
            <w:pPr>
              <w:tabs>
                <w:tab w:val="left" w:pos="0"/>
              </w:tabs>
              <w:ind w:right="-1"/>
              <w:jc w:val="center"/>
              <w:rPr>
                <w:sz w:val="22"/>
                <w:szCs w:val="22"/>
              </w:rPr>
            </w:pPr>
            <w:r w:rsidRPr="00B42BBD">
              <w:rPr>
                <w:sz w:val="22"/>
                <w:szCs w:val="22"/>
              </w:rPr>
              <w:t>24,48</w:t>
            </w:r>
          </w:p>
        </w:tc>
      </w:tr>
      <w:tr w:rsidR="00160527" w:rsidTr="005D664C">
        <w:tc>
          <w:tcPr>
            <w:tcW w:w="4673" w:type="dxa"/>
            <w:vAlign w:val="center"/>
          </w:tcPr>
          <w:p w:rsidR="00160527" w:rsidRPr="00B42BBD" w:rsidRDefault="00160527" w:rsidP="005D664C">
            <w:pPr>
              <w:tabs>
                <w:tab w:val="left" w:pos="0"/>
              </w:tabs>
              <w:ind w:right="-1"/>
              <w:rPr>
                <w:b/>
                <w:sz w:val="22"/>
                <w:szCs w:val="22"/>
              </w:rPr>
            </w:pPr>
            <w:r w:rsidRPr="00B42BBD">
              <w:rPr>
                <w:b/>
                <w:sz w:val="22"/>
                <w:szCs w:val="22"/>
              </w:rPr>
              <w:t>TOPLAM</w:t>
            </w:r>
          </w:p>
        </w:tc>
        <w:tc>
          <w:tcPr>
            <w:tcW w:w="1418" w:type="dxa"/>
            <w:vAlign w:val="center"/>
          </w:tcPr>
          <w:p w:rsidR="00160527" w:rsidRPr="00B42BBD" w:rsidRDefault="00160527" w:rsidP="005D664C">
            <w:pPr>
              <w:tabs>
                <w:tab w:val="left" w:pos="0"/>
              </w:tabs>
              <w:ind w:right="-1"/>
              <w:jc w:val="center"/>
              <w:rPr>
                <w:b/>
                <w:sz w:val="22"/>
                <w:szCs w:val="22"/>
              </w:rPr>
            </w:pPr>
            <w:r w:rsidRPr="00B42BBD">
              <w:rPr>
                <w:b/>
                <w:sz w:val="22"/>
                <w:szCs w:val="22"/>
              </w:rPr>
              <w:t>289040</w:t>
            </w:r>
          </w:p>
        </w:tc>
        <w:tc>
          <w:tcPr>
            <w:tcW w:w="992" w:type="dxa"/>
            <w:vAlign w:val="center"/>
          </w:tcPr>
          <w:p w:rsidR="00160527" w:rsidRPr="00B42BBD" w:rsidRDefault="00160527" w:rsidP="005D664C">
            <w:pPr>
              <w:tabs>
                <w:tab w:val="left" w:pos="0"/>
              </w:tabs>
              <w:ind w:right="-1"/>
              <w:jc w:val="center"/>
              <w:rPr>
                <w:b/>
                <w:sz w:val="22"/>
                <w:szCs w:val="22"/>
              </w:rPr>
            </w:pPr>
            <w:r w:rsidRPr="00B42BBD">
              <w:rPr>
                <w:b/>
                <w:sz w:val="22"/>
                <w:szCs w:val="22"/>
              </w:rPr>
              <w:t>100,00</w:t>
            </w:r>
          </w:p>
        </w:tc>
        <w:tc>
          <w:tcPr>
            <w:tcW w:w="1134" w:type="dxa"/>
            <w:vAlign w:val="center"/>
          </w:tcPr>
          <w:p w:rsidR="00160527" w:rsidRPr="00B42BBD" w:rsidRDefault="00160527" w:rsidP="005D664C">
            <w:pPr>
              <w:tabs>
                <w:tab w:val="left" w:pos="0"/>
              </w:tabs>
              <w:ind w:right="-1"/>
              <w:jc w:val="center"/>
              <w:rPr>
                <w:b/>
                <w:sz w:val="22"/>
                <w:szCs w:val="22"/>
              </w:rPr>
            </w:pPr>
            <w:r w:rsidRPr="00B42BBD">
              <w:rPr>
                <w:b/>
                <w:sz w:val="22"/>
                <w:szCs w:val="22"/>
              </w:rPr>
              <w:t>289040</w:t>
            </w:r>
          </w:p>
        </w:tc>
        <w:tc>
          <w:tcPr>
            <w:tcW w:w="1229" w:type="dxa"/>
            <w:vAlign w:val="center"/>
          </w:tcPr>
          <w:p w:rsidR="00160527" w:rsidRPr="00B42BBD" w:rsidRDefault="00160527" w:rsidP="005D664C">
            <w:pPr>
              <w:tabs>
                <w:tab w:val="left" w:pos="0"/>
              </w:tabs>
              <w:ind w:right="-1"/>
              <w:jc w:val="center"/>
              <w:rPr>
                <w:b/>
                <w:sz w:val="22"/>
                <w:szCs w:val="22"/>
              </w:rPr>
            </w:pPr>
            <w:r w:rsidRPr="00B42BBD">
              <w:rPr>
                <w:b/>
                <w:sz w:val="22"/>
                <w:szCs w:val="22"/>
              </w:rPr>
              <w:t>100,00</w:t>
            </w:r>
          </w:p>
        </w:tc>
      </w:tr>
    </w:tbl>
    <w:p w:rsidR="00160527" w:rsidRDefault="00160527" w:rsidP="00160527">
      <w:pPr>
        <w:tabs>
          <w:tab w:val="left" w:pos="0"/>
        </w:tabs>
        <w:ind w:right="-1"/>
        <w:jc w:val="both"/>
      </w:pPr>
    </w:p>
    <w:p w:rsidR="00160527" w:rsidRPr="00B22058" w:rsidRDefault="00160527" w:rsidP="00160527">
      <w:pPr>
        <w:tabs>
          <w:tab w:val="left" w:pos="0"/>
        </w:tabs>
        <w:ind w:right="-1" w:firstLine="709"/>
        <w:jc w:val="both"/>
        <w:rPr>
          <w:b/>
        </w:rPr>
      </w:pPr>
      <w:r w:rsidRPr="00B22058">
        <w:rPr>
          <w:b/>
        </w:rPr>
        <w:t>Plan Notları</w:t>
      </w:r>
    </w:p>
    <w:p w:rsidR="00160527" w:rsidRDefault="00160527" w:rsidP="00160527">
      <w:pPr>
        <w:tabs>
          <w:tab w:val="left" w:pos="0"/>
        </w:tabs>
        <w:ind w:right="-1" w:firstLine="709"/>
        <w:jc w:val="both"/>
      </w:pPr>
      <w:r>
        <w:t>A-Genel Hükümler  </w:t>
      </w:r>
    </w:p>
    <w:p w:rsidR="00160527" w:rsidRDefault="00160527" w:rsidP="00160527">
      <w:pPr>
        <w:tabs>
          <w:tab w:val="left" w:pos="0"/>
        </w:tabs>
        <w:ind w:right="-1" w:firstLine="709"/>
        <w:jc w:val="both"/>
      </w:pPr>
      <w:r>
        <w:t>1. Bu Plan, Plan Notları Ve Plan Açıklama Raporu Bir Bütündür.</w:t>
      </w:r>
    </w:p>
    <w:p w:rsidR="00160527" w:rsidRDefault="00160527" w:rsidP="00160527">
      <w:pPr>
        <w:tabs>
          <w:tab w:val="left" w:pos="0"/>
        </w:tabs>
        <w:ind w:right="-1" w:firstLine="709"/>
        <w:jc w:val="both"/>
      </w:pPr>
      <w:r>
        <w:t>2. 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 Ölçekli Planlara Uyulacaktır.</w:t>
      </w:r>
    </w:p>
    <w:p w:rsidR="00160527" w:rsidRDefault="00160527" w:rsidP="00160527">
      <w:pPr>
        <w:tabs>
          <w:tab w:val="left" w:pos="0"/>
        </w:tabs>
        <w:ind w:right="-1" w:firstLine="709"/>
        <w:jc w:val="both"/>
      </w:pPr>
      <w:r>
        <w:t>3. İmar Planlarına Uygun Olarak Hazırlanacak Parselasyon Planları Onaylanıp, İmar Tapusu Alınmadan İnşaat İzni Verilemez.</w:t>
      </w:r>
    </w:p>
    <w:p w:rsidR="00160527" w:rsidRDefault="00160527" w:rsidP="00160527">
      <w:pPr>
        <w:tabs>
          <w:tab w:val="left" w:pos="0"/>
        </w:tabs>
        <w:ind w:right="-1" w:firstLine="709"/>
        <w:jc w:val="both"/>
      </w:pPr>
      <w:r>
        <w:t>4. Tarım Ve Orman Bakanlığı Devlet Su İşleri Genel Müdürlüğü 5. Bölge Müdürlüğünün 01.12.2020 Tarih 773519 Sayılı Görüşünde Belirtilen Hususlara Uyulacaktır.</w:t>
      </w:r>
    </w:p>
    <w:p w:rsidR="00160527" w:rsidRDefault="00160527" w:rsidP="00160527">
      <w:pPr>
        <w:tabs>
          <w:tab w:val="left" w:pos="0"/>
        </w:tabs>
        <w:ind w:right="-1" w:firstLine="709"/>
        <w:jc w:val="both"/>
      </w:pPr>
      <w:r>
        <w:t>5. Kültür Ve Turizm Bakanlığını Kültür Varlıkları Ve Müzeler Genel Müdürlüğünün 04.05.2020 Tarih 326431 Sayılı Görüşünde Belirtilen Hususlara Uyulacaktır.</w:t>
      </w:r>
    </w:p>
    <w:p w:rsidR="00160527" w:rsidRDefault="00160527" w:rsidP="00160527">
      <w:pPr>
        <w:tabs>
          <w:tab w:val="left" w:pos="0"/>
        </w:tabs>
        <w:ind w:right="-1" w:firstLine="709"/>
        <w:jc w:val="both"/>
      </w:pPr>
      <w:r>
        <w:t>6. Başkent Doğalgaz GYO A.Ş.’</w:t>
      </w:r>
      <w:proofErr w:type="spellStart"/>
      <w:r>
        <w:t>nin</w:t>
      </w:r>
      <w:proofErr w:type="spellEnd"/>
      <w:r>
        <w:t xml:space="preserve"> 11.05.2020 Tarih Ve 17729 Sayılı Görüşünde Belirtilen Hususlara Uyulacaktır.</w:t>
      </w:r>
    </w:p>
    <w:p w:rsidR="00160527" w:rsidRDefault="00160527" w:rsidP="00160527">
      <w:pPr>
        <w:tabs>
          <w:tab w:val="left" w:pos="0"/>
        </w:tabs>
        <w:ind w:right="-1" w:firstLine="709"/>
        <w:jc w:val="both"/>
      </w:pPr>
      <w:r>
        <w:t>7. ASKİ Genel Müdürlüğünün 18.12.2020 Tarih Ve 43284 Sayılı Görüşünde Belirtilen Hususlara Uyulacaktır.</w:t>
      </w:r>
    </w:p>
    <w:p w:rsidR="00160527" w:rsidRDefault="00160527" w:rsidP="00160527">
      <w:pPr>
        <w:tabs>
          <w:tab w:val="left" w:pos="0"/>
        </w:tabs>
        <w:ind w:right="-1" w:firstLine="709"/>
        <w:jc w:val="both"/>
      </w:pPr>
      <w:r>
        <w:t>8. Başkent Elektrik Dağıtım A.Ş.’</w:t>
      </w:r>
      <w:proofErr w:type="spellStart"/>
      <w:r>
        <w:t>nin</w:t>
      </w:r>
      <w:proofErr w:type="spellEnd"/>
      <w:r>
        <w:t xml:space="preserve"> 01.10.2021 Tarih 3776 Sayılı Görüşünde Belirtilen Hususlara Uyulacaktır.</w:t>
      </w:r>
    </w:p>
    <w:p w:rsidR="00160527" w:rsidRDefault="00160527" w:rsidP="00160527">
      <w:pPr>
        <w:tabs>
          <w:tab w:val="left" w:pos="0"/>
        </w:tabs>
        <w:ind w:right="-1" w:firstLine="709"/>
        <w:jc w:val="both"/>
      </w:pPr>
      <w:r>
        <w:t>9. Türkiye Elektrik İletim Anonim Şirketi Genel Müdürlüğünün 02.02.2021 Tarih 518404 Sayılı Görüşünde Belirtilen Hususlara Uyulacaktır.</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60527" w:rsidRPr="002D00A5" w:rsidTr="005D664C">
        <w:trPr>
          <w:trHeight w:val="1008"/>
        </w:trPr>
        <w:tc>
          <w:tcPr>
            <w:tcW w:w="3510" w:type="dxa"/>
          </w:tcPr>
          <w:p w:rsidR="00160527" w:rsidRPr="002D00A5" w:rsidRDefault="00160527" w:rsidP="005D664C">
            <w:pPr>
              <w:ind w:right="-1"/>
              <w:jc w:val="center"/>
            </w:pPr>
            <w:r w:rsidRPr="002D00A5">
              <w:t>T.C.</w:t>
            </w:r>
          </w:p>
          <w:p w:rsidR="00160527" w:rsidRPr="002D00A5" w:rsidRDefault="00160527" w:rsidP="005D664C">
            <w:pPr>
              <w:ind w:right="-1"/>
              <w:jc w:val="center"/>
            </w:pPr>
            <w:r w:rsidRPr="002D00A5">
              <w:t>ANKARA BÜYÜKŞEHİR</w:t>
            </w:r>
          </w:p>
          <w:p w:rsidR="00160527" w:rsidRPr="002D00A5" w:rsidRDefault="00160527" w:rsidP="005D664C">
            <w:pPr>
              <w:ind w:right="-1"/>
              <w:jc w:val="center"/>
            </w:pPr>
            <w:r w:rsidRPr="002D00A5">
              <w:t>BELEDİYE MECLİSİ</w:t>
            </w:r>
          </w:p>
        </w:tc>
      </w:tr>
    </w:tbl>
    <w:p w:rsidR="00160527" w:rsidRDefault="00160527" w:rsidP="00160527">
      <w:pPr>
        <w:tabs>
          <w:tab w:val="left" w:pos="1935"/>
          <w:tab w:val="left" w:pos="9356"/>
        </w:tabs>
        <w:ind w:right="-1"/>
        <w:jc w:val="both"/>
      </w:pPr>
    </w:p>
    <w:p w:rsidR="00160527" w:rsidRDefault="00160527" w:rsidP="00160527">
      <w:pPr>
        <w:tabs>
          <w:tab w:val="left" w:pos="1935"/>
          <w:tab w:val="left" w:pos="9356"/>
        </w:tabs>
        <w:ind w:right="-1"/>
        <w:jc w:val="both"/>
      </w:pPr>
    </w:p>
    <w:p w:rsidR="00160527" w:rsidRDefault="00160527" w:rsidP="00160527">
      <w:pPr>
        <w:ind w:right="-1"/>
        <w:jc w:val="both"/>
      </w:pPr>
      <w:r>
        <w:t>Karar No: 960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14.06.2025</w:t>
      </w:r>
    </w:p>
    <w:p w:rsidR="00160527" w:rsidRDefault="00160527" w:rsidP="00160527"/>
    <w:p w:rsidR="00160527" w:rsidRDefault="00160527" w:rsidP="00160527">
      <w:pPr>
        <w:tabs>
          <w:tab w:val="left" w:pos="0"/>
        </w:tabs>
        <w:ind w:right="-1"/>
        <w:jc w:val="center"/>
      </w:pPr>
      <w:r>
        <w:t>-4-</w:t>
      </w:r>
    </w:p>
    <w:p w:rsidR="00160527" w:rsidRDefault="00160527" w:rsidP="00160527">
      <w:pPr>
        <w:tabs>
          <w:tab w:val="left" w:pos="0"/>
        </w:tabs>
        <w:ind w:right="-1"/>
        <w:jc w:val="center"/>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9.1. Türkiye Elektrik İletim A.Ş. (TEİAŞ)'a Ait Enerji İletim Tesisleri Yakınında Ve Çevresinde Yapılacak Her Türlü Proje, Uygulama Ve İnşaat Öncesinde Türkiye Elektrik İletim A.Ş. (TEİAŞ) Görüşü Alınacaktır.</w:t>
      </w:r>
    </w:p>
    <w:p w:rsidR="00160527" w:rsidRDefault="00160527" w:rsidP="00160527">
      <w:pPr>
        <w:tabs>
          <w:tab w:val="left" w:pos="0"/>
        </w:tabs>
        <w:ind w:right="-1" w:firstLine="709"/>
        <w:jc w:val="both"/>
      </w:pPr>
      <w:r>
        <w:t xml:space="preserve">9.2. </w:t>
      </w:r>
      <w:proofErr w:type="spellStart"/>
      <w:r>
        <w:t>Teiaş</w:t>
      </w:r>
      <w:proofErr w:type="spellEnd"/>
      <w:r>
        <w:t xml:space="preserve"> Enerji İletim Hattı Altındaki Yapılaşmalarda 30/11/2000 Tarihli Ve 24246 Sayılı Resmi </w:t>
      </w:r>
      <w:proofErr w:type="spellStart"/>
      <w:r>
        <w:t>Gazete'de</w:t>
      </w:r>
      <w:proofErr w:type="spellEnd"/>
      <w:r>
        <w:t xml:space="preserve"> Yayımlanan Elektrik Kuvvetli Akım Tesisleri (EKAT) Yönetmeliği Hükümlerine Uyulacaktır.</w:t>
      </w:r>
    </w:p>
    <w:p w:rsidR="00160527" w:rsidRDefault="00160527" w:rsidP="00160527">
      <w:pPr>
        <w:tabs>
          <w:tab w:val="left" w:pos="0"/>
        </w:tabs>
        <w:ind w:right="-1" w:firstLine="709"/>
        <w:jc w:val="both"/>
      </w:pPr>
      <w:r>
        <w:t>10. Afete Yönelik Hükümler</w:t>
      </w:r>
    </w:p>
    <w:p w:rsidR="00160527" w:rsidRDefault="00160527" w:rsidP="00160527">
      <w:pPr>
        <w:tabs>
          <w:tab w:val="left" w:pos="0"/>
        </w:tabs>
        <w:ind w:right="-1" w:firstLine="709"/>
        <w:jc w:val="both"/>
      </w:pPr>
      <w:r>
        <w:t xml:space="preserve">10.1. Planlama Alanında 05.11.2008 Tarihinde Onaylanan </w:t>
      </w:r>
      <w:proofErr w:type="spellStart"/>
      <w:r>
        <w:t>Güneykent</w:t>
      </w:r>
      <w:proofErr w:type="spellEnd"/>
      <w:r>
        <w:t xml:space="preserve"> Kentsel Dönüşüm Ve Gelişim Alanı İmar Planına Esas Jeolojik Ve </w:t>
      </w:r>
      <w:proofErr w:type="spellStart"/>
      <w:r>
        <w:t>Jeoteknik</w:t>
      </w:r>
      <w:proofErr w:type="spellEnd"/>
      <w:r>
        <w:t xml:space="preserve"> Etüt Raporu Sonuç Ve Öneriler Bölümündeki Önerilere Uyulacaktır.</w:t>
      </w:r>
    </w:p>
    <w:p w:rsidR="00160527" w:rsidRDefault="00160527" w:rsidP="00160527">
      <w:pPr>
        <w:tabs>
          <w:tab w:val="left" w:pos="0"/>
        </w:tabs>
        <w:ind w:right="-1" w:firstLine="709"/>
        <w:jc w:val="both"/>
      </w:pPr>
      <w:r>
        <w:t>10.2. Türkiye Bina Deprem Yönetmeliği İle Afet Bölgelerinde Yapılacak Yapılar Hakkında Yönetmelik Hükümlerine Uyulacaktır.</w:t>
      </w:r>
    </w:p>
    <w:p w:rsidR="00160527" w:rsidRDefault="00160527" w:rsidP="00160527">
      <w:pPr>
        <w:tabs>
          <w:tab w:val="left" w:pos="0"/>
        </w:tabs>
        <w:ind w:right="-1" w:firstLine="709"/>
        <w:jc w:val="both"/>
      </w:pPr>
      <w:r>
        <w:t>B-Özel Hükümler</w:t>
      </w:r>
    </w:p>
    <w:p w:rsidR="00160527" w:rsidRDefault="00160527" w:rsidP="00160527">
      <w:pPr>
        <w:tabs>
          <w:tab w:val="left" w:pos="0"/>
        </w:tabs>
        <w:ind w:right="-1" w:firstLine="709"/>
        <w:jc w:val="both"/>
      </w:pPr>
      <w:r>
        <w:t>11. Sınırlar Ve İmar Uygulamaları</w:t>
      </w:r>
    </w:p>
    <w:p w:rsidR="00160527" w:rsidRDefault="00160527" w:rsidP="00160527">
      <w:pPr>
        <w:tabs>
          <w:tab w:val="left" w:pos="0"/>
        </w:tabs>
        <w:ind w:right="-1" w:firstLine="709"/>
        <w:jc w:val="both"/>
      </w:pPr>
      <w:r>
        <w:t>11.1. Planda Gösterilen Taşkın Sınırları (Su Kanalları Koruma Kuşağı) Ve Jeolojik Açıdan Yerleşime Uygun Olmayan Alanlarda Hiçbir Şekilde Yapılaşmaya Gidilemez.</w:t>
      </w:r>
    </w:p>
    <w:p w:rsidR="00160527" w:rsidRDefault="00160527" w:rsidP="00160527">
      <w:pPr>
        <w:tabs>
          <w:tab w:val="left" w:pos="0"/>
        </w:tabs>
        <w:ind w:right="-1" w:firstLine="709"/>
        <w:jc w:val="both"/>
      </w:pPr>
      <w:r>
        <w:t>11.2.Parselasyon Planı Etaplar Halinde Yapılabilir. Etapları Belirlemeye Gölbaşı Belediyesi Yetkilidir.</w:t>
      </w:r>
    </w:p>
    <w:p w:rsidR="00160527" w:rsidRDefault="00160527" w:rsidP="00160527">
      <w:pPr>
        <w:tabs>
          <w:tab w:val="left" w:pos="0"/>
        </w:tabs>
        <w:ind w:right="-1" w:firstLine="709"/>
        <w:jc w:val="both"/>
      </w:pPr>
      <w:r>
        <w:t>11.3. Planda Gösterilen Yapı Yaklaşma Mesafelerine Uyulacaktır. Plan Üzerinde Gösterilmeyen Komşu Parsele Yapı Yaklaşma Mesafeleri En Az 3 M. Olacaktır. Birden Fazla Yapı Yapılan Parsellerde İse İki Yapı Arası En Az 6 M. Olacaktır.</w:t>
      </w:r>
    </w:p>
    <w:p w:rsidR="00160527" w:rsidRDefault="00160527" w:rsidP="00160527">
      <w:pPr>
        <w:tabs>
          <w:tab w:val="left" w:pos="0"/>
        </w:tabs>
        <w:ind w:right="-1" w:firstLine="709"/>
        <w:jc w:val="both"/>
      </w:pPr>
      <w:r>
        <w:t>11.4. Yapılarda Birden Fazla Bodrum Kat Yapılamaz.</w:t>
      </w:r>
    </w:p>
    <w:p w:rsidR="00160527" w:rsidRDefault="00160527" w:rsidP="00160527">
      <w:pPr>
        <w:tabs>
          <w:tab w:val="left" w:pos="0"/>
        </w:tabs>
        <w:ind w:right="-1" w:firstLine="709"/>
        <w:jc w:val="both"/>
      </w:pPr>
      <w:r>
        <w:t>11.5. Yapılara Kot Verilmesi: Yoldan Düşük Parsellerde ±0.00 Kotu, Cephe Aldığı Yolun Kotudur. Yoldan Yüksek Parsellerde İse ±0.00 Kotu Bina Köşe Kotları Ortalamasıdır.</w:t>
      </w:r>
    </w:p>
    <w:p w:rsidR="00160527" w:rsidRDefault="00160527" w:rsidP="00160527">
      <w:pPr>
        <w:tabs>
          <w:tab w:val="left" w:pos="0"/>
        </w:tabs>
        <w:ind w:right="-1" w:firstLine="709"/>
        <w:jc w:val="both"/>
      </w:pPr>
      <w:r>
        <w:t>12. Konut Alanları</w:t>
      </w:r>
    </w:p>
    <w:p w:rsidR="00160527" w:rsidRDefault="00160527" w:rsidP="00160527">
      <w:pPr>
        <w:tabs>
          <w:tab w:val="left" w:pos="0"/>
        </w:tabs>
        <w:ind w:right="-1" w:firstLine="709"/>
        <w:jc w:val="both"/>
      </w:pPr>
      <w:r>
        <w:t>12.1. Bu Alanlarda, Ankara Valiliği-Mülga Bayındırlık İl Müdürlüğü’nce Onaylanan Plandaki Minimum Parsel Büyüklükleri Geçerli Olup Adaların Parsellere Bölünmesi Halinde Ada Üzerinde Belirtilen Maksimum Konut Sayısından Fazla Parsel Oluşturulamaz.</w:t>
      </w:r>
    </w:p>
    <w:p w:rsidR="00160527" w:rsidRDefault="00160527" w:rsidP="00160527">
      <w:pPr>
        <w:tabs>
          <w:tab w:val="left" w:pos="0"/>
        </w:tabs>
        <w:ind w:right="-1" w:firstLine="709"/>
        <w:jc w:val="both"/>
      </w:pPr>
      <w:r>
        <w:t xml:space="preserve">12.2. İmar Uygulaması Görmeyen Kadastro Parsellerinde Parselasyon Planı Yapılması Durumunda, Minimum Parsel Büyüklüğü 500 M2 Olup, E=0.30 </w:t>
      </w:r>
      <w:proofErr w:type="spellStart"/>
      <w:r>
        <w:t>Yençok</w:t>
      </w:r>
      <w:proofErr w:type="spellEnd"/>
      <w:r>
        <w:t>=2 Kat Olacaktır. 500 M²'Den Büyük Parsellerde İfraz Yapılmaksızın Her 500 M² İçin Bir Bağımsız Birim Yapılabilir. Ada Üzerinde Belirtilen Maksimum Konut Sayısı Hiçbir Şekilde Aşılamaz.</w:t>
      </w:r>
    </w:p>
    <w:p w:rsidR="00160527" w:rsidRDefault="00160527" w:rsidP="00160527">
      <w:pPr>
        <w:tabs>
          <w:tab w:val="left" w:pos="0"/>
        </w:tabs>
        <w:ind w:right="-1" w:firstLine="709"/>
        <w:jc w:val="both"/>
      </w:pPr>
      <w:r>
        <w:t>12.3. Bir Parselde Birden Fazla Yapı Yapılması Durumunda Ayrık, Bitişik, Blok, Sıra Ev Nizamlarında Uygulamalar Yapılabilir.</w:t>
      </w:r>
    </w:p>
    <w:p w:rsidR="00160527" w:rsidRDefault="00160527" w:rsidP="00160527">
      <w:pPr>
        <w:tabs>
          <w:tab w:val="left" w:pos="0"/>
        </w:tabs>
        <w:ind w:right="-1" w:firstLine="709"/>
        <w:jc w:val="both"/>
      </w:pPr>
      <w:r>
        <w:t>12.4. Ada Bazında Uygulama Tercihinde, İmar Adası Tek Parsel Olarak Ayrılabileceği Gibi, Ayırma Yapılması Durumunda, Bir İmar Adası Her Biri 3000 M² Den Küçük Olmayan En Fazla Üç Parsele Ayrılabilir. Ada Bazında Uygulamada E=0.33'dür, Ada Üzerinde Belirtilen Maksimum Konut Adedi Sabittir.</w:t>
      </w:r>
    </w:p>
    <w:p w:rsidR="00160527" w:rsidRDefault="00160527" w:rsidP="00160527">
      <w:pPr>
        <w:tabs>
          <w:tab w:val="left" w:pos="0"/>
        </w:tabs>
        <w:ind w:right="-1" w:firstLine="709"/>
        <w:jc w:val="both"/>
      </w:pPr>
      <w:r>
        <w:t>12.5.Ada Bazında Uygulamada Emsal İçinde Kalmak ve Emsalin %10 unu ve H:1 Katı Aşmayacak Şekilde Ada İçinde Ortak Sosyal Tesis Yapılabilir.</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60527" w:rsidRPr="002D00A5" w:rsidTr="005D664C">
        <w:trPr>
          <w:trHeight w:val="1008"/>
        </w:trPr>
        <w:tc>
          <w:tcPr>
            <w:tcW w:w="3510" w:type="dxa"/>
          </w:tcPr>
          <w:p w:rsidR="00160527" w:rsidRPr="002D00A5" w:rsidRDefault="00160527" w:rsidP="005D664C">
            <w:pPr>
              <w:ind w:right="-1"/>
              <w:jc w:val="center"/>
            </w:pPr>
            <w:r w:rsidRPr="002D00A5">
              <w:t>T.C.</w:t>
            </w:r>
          </w:p>
          <w:p w:rsidR="00160527" w:rsidRPr="002D00A5" w:rsidRDefault="00160527" w:rsidP="005D664C">
            <w:pPr>
              <w:ind w:right="-1"/>
              <w:jc w:val="center"/>
            </w:pPr>
            <w:r w:rsidRPr="002D00A5">
              <w:t>ANKARA BÜYÜKŞEHİR</w:t>
            </w:r>
          </w:p>
          <w:p w:rsidR="00160527" w:rsidRPr="002D00A5" w:rsidRDefault="00160527" w:rsidP="005D664C">
            <w:pPr>
              <w:ind w:right="-1"/>
              <w:jc w:val="center"/>
            </w:pPr>
            <w:r w:rsidRPr="002D00A5">
              <w:t>BELEDİYE MECLİSİ</w:t>
            </w:r>
          </w:p>
        </w:tc>
      </w:tr>
    </w:tbl>
    <w:p w:rsidR="00160527" w:rsidRDefault="00160527" w:rsidP="00160527">
      <w:pPr>
        <w:tabs>
          <w:tab w:val="left" w:pos="1935"/>
          <w:tab w:val="left" w:pos="9356"/>
        </w:tabs>
        <w:ind w:right="-1"/>
        <w:jc w:val="both"/>
      </w:pPr>
    </w:p>
    <w:p w:rsidR="00160527" w:rsidRDefault="00160527" w:rsidP="00160527">
      <w:pPr>
        <w:tabs>
          <w:tab w:val="left" w:pos="1935"/>
          <w:tab w:val="left" w:pos="9356"/>
        </w:tabs>
        <w:ind w:right="-1"/>
        <w:jc w:val="both"/>
      </w:pPr>
    </w:p>
    <w:p w:rsidR="00160527" w:rsidRDefault="00160527" w:rsidP="00160527">
      <w:pPr>
        <w:ind w:right="-1"/>
        <w:jc w:val="both"/>
      </w:pPr>
      <w:r>
        <w:t>Karar No: 960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14.06.2025</w:t>
      </w:r>
    </w:p>
    <w:p w:rsidR="00160527" w:rsidRDefault="00160527" w:rsidP="00160527"/>
    <w:p w:rsidR="00160527" w:rsidRDefault="00160527" w:rsidP="00160527">
      <w:pPr>
        <w:tabs>
          <w:tab w:val="left" w:pos="0"/>
        </w:tabs>
        <w:ind w:right="-1"/>
        <w:jc w:val="center"/>
      </w:pPr>
      <w:r>
        <w:t>-5-</w:t>
      </w:r>
    </w:p>
    <w:p w:rsidR="00160527" w:rsidRDefault="00160527" w:rsidP="00160527">
      <w:pPr>
        <w:tabs>
          <w:tab w:val="left" w:pos="0"/>
        </w:tabs>
        <w:ind w:right="-1"/>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13. Kentsel Çalışma Alanları</w:t>
      </w:r>
    </w:p>
    <w:p w:rsidR="00160527" w:rsidRDefault="00160527" w:rsidP="00160527">
      <w:pPr>
        <w:tabs>
          <w:tab w:val="left" w:pos="0"/>
        </w:tabs>
        <w:ind w:right="-1" w:firstLine="709"/>
        <w:jc w:val="both"/>
      </w:pPr>
      <w:r>
        <w:t>13.1. Ticaret Alanları: Planlı Alanlar İmar Yönetmeliğinde Belirlenen Kullanımların Da Yer Alabileceği Bu Alanlarda Yapılaşma Koşulları Plan Üzerinde Belirtilmiştir.</w:t>
      </w:r>
    </w:p>
    <w:p w:rsidR="00160527" w:rsidRDefault="00160527" w:rsidP="00160527">
      <w:pPr>
        <w:tabs>
          <w:tab w:val="left" w:pos="0"/>
        </w:tabs>
        <w:ind w:right="-1" w:firstLine="709"/>
        <w:jc w:val="both"/>
      </w:pPr>
      <w:r>
        <w:t>13.2. Resmi Kurum Alanları: Bu Alanlarda Kamuya Ait Olmak Üzere; Mevzuatlarda Tanımlı Tesisler Yapılabilir.</w:t>
      </w:r>
    </w:p>
    <w:p w:rsidR="00160527" w:rsidRDefault="00160527" w:rsidP="00160527">
      <w:pPr>
        <w:tabs>
          <w:tab w:val="left" w:pos="0"/>
        </w:tabs>
        <w:ind w:right="-1" w:firstLine="709"/>
        <w:jc w:val="both"/>
      </w:pPr>
      <w:r>
        <w:t>14. Sosyal Altyapı Alanları</w:t>
      </w:r>
    </w:p>
    <w:p w:rsidR="00160527" w:rsidRDefault="00160527" w:rsidP="00160527">
      <w:pPr>
        <w:tabs>
          <w:tab w:val="left" w:pos="0"/>
        </w:tabs>
        <w:ind w:right="-1" w:firstLine="709"/>
        <w:jc w:val="both"/>
      </w:pPr>
      <w:r>
        <w:t>14.1. Kamu Mülkiyetinde Olan Sosyal Donatı Alanları Hariç İmar Planlarında Yer Alan Özel Mülkiyete Tabi Sosyal Tesis, Kültürel Tesis, Rekreasyon Alanı, Sağlık, Eğitim Vb. Donatı Alanları İlgili Kurumlardan Görüş Alınmak Kaydı İle Özel Amaçlı Kullanılabilir.</w:t>
      </w:r>
    </w:p>
    <w:p w:rsidR="00160527" w:rsidRDefault="00160527" w:rsidP="00160527">
      <w:pPr>
        <w:tabs>
          <w:tab w:val="left" w:pos="0"/>
        </w:tabs>
        <w:ind w:right="-1" w:firstLine="709"/>
        <w:jc w:val="both"/>
      </w:pPr>
      <w:r>
        <w:t>14.2. Sosyal Ve Kültürel Tesis Alanlarında Sosyal Ve Kültürel Tesis Alanlarında Yapılan Her Türlü Tesisler Yapılabilir.</w:t>
      </w:r>
    </w:p>
    <w:p w:rsidR="00160527" w:rsidRDefault="00160527" w:rsidP="00160527">
      <w:pPr>
        <w:tabs>
          <w:tab w:val="left" w:pos="0"/>
        </w:tabs>
        <w:ind w:right="-1" w:firstLine="709"/>
        <w:jc w:val="both"/>
      </w:pPr>
      <w:r>
        <w:t>14.3. Sağlık Tesis Alanlarında (Sağlık Ocağı, Hastane, Rehabilitasyon Merkezi, Vb.) Sağlık Amaçlı Her Türlü Tesisler Yapılabilir.</w:t>
      </w:r>
    </w:p>
    <w:p w:rsidR="00160527" w:rsidRDefault="00160527" w:rsidP="00160527">
      <w:pPr>
        <w:tabs>
          <w:tab w:val="left" w:pos="0"/>
        </w:tabs>
        <w:ind w:right="-1" w:firstLine="709"/>
        <w:jc w:val="both"/>
      </w:pPr>
      <w:r>
        <w:t xml:space="preserve">14.4. Yapılaşma Koşulları Plan Üzerinde Belirtilmemiş Donatı Alanlarında E:0.60 </w:t>
      </w:r>
      <w:proofErr w:type="spellStart"/>
      <w:r>
        <w:t>Yençok</w:t>
      </w:r>
      <w:proofErr w:type="spellEnd"/>
      <w:r>
        <w:t>: 2 Kat Olarak Uygulanacaktır.</w:t>
      </w:r>
    </w:p>
    <w:p w:rsidR="00160527" w:rsidRDefault="00160527" w:rsidP="00160527">
      <w:pPr>
        <w:tabs>
          <w:tab w:val="left" w:pos="0"/>
        </w:tabs>
        <w:ind w:right="-1" w:firstLine="709"/>
        <w:jc w:val="both"/>
      </w:pPr>
      <w:r>
        <w:t>15. Teknik Altyapı</w:t>
      </w:r>
    </w:p>
    <w:p w:rsidR="00160527" w:rsidRDefault="00160527" w:rsidP="00160527">
      <w:pPr>
        <w:tabs>
          <w:tab w:val="left" w:pos="0"/>
        </w:tabs>
        <w:ind w:right="-1" w:firstLine="709"/>
        <w:jc w:val="both"/>
      </w:pPr>
      <w:r>
        <w:t>15.1. Yaya Yolları Gerektiğinde Yangın, Çöp Vb. Kullanışlar Ve Binalara Otopark Giriş Çıkışı Amacıyla Kullanılabilir.</w:t>
      </w:r>
    </w:p>
    <w:p w:rsidR="00160527" w:rsidRDefault="00160527" w:rsidP="00160527">
      <w:pPr>
        <w:tabs>
          <w:tab w:val="left" w:pos="0"/>
        </w:tabs>
        <w:ind w:right="-1" w:firstLine="709"/>
        <w:jc w:val="both"/>
      </w:pPr>
      <w:r>
        <w:t>15.2. Otopark İhtiyacı Parsel İçerisinde Karşılanacaktır.</w:t>
      </w:r>
    </w:p>
    <w:p w:rsidR="00160527" w:rsidRDefault="00160527" w:rsidP="00160527">
      <w:pPr>
        <w:tabs>
          <w:tab w:val="left" w:pos="0"/>
        </w:tabs>
        <w:ind w:right="-1" w:firstLine="709"/>
        <w:jc w:val="both"/>
      </w:pPr>
      <w:r>
        <w:t>15.3. Planlama Alanında Yer Alan Teknik Altyapı Alanlarının Çevre Güvenliği İlgili Kurum Tarafından Sağlanacaktır.</w:t>
      </w:r>
    </w:p>
    <w:p w:rsidR="00160527" w:rsidRDefault="00160527" w:rsidP="00160527">
      <w:pPr>
        <w:tabs>
          <w:tab w:val="left" w:pos="0"/>
        </w:tabs>
        <w:ind w:right="-1" w:firstLine="709"/>
        <w:jc w:val="both"/>
      </w:pPr>
      <w:r>
        <w:t xml:space="preserve">15.4. Tüm Teknik Altyapı Alanlarında, Özel Veya Kamuya Hizmet Etmek Üzere; Her Türlü Altyapı Tesisleri Yapılabilir. Azami Emsal:0.30 </w:t>
      </w:r>
      <w:proofErr w:type="spellStart"/>
      <w:r>
        <w:t>Yençok</w:t>
      </w:r>
      <w:proofErr w:type="spellEnd"/>
      <w:r>
        <w:t xml:space="preserve">: =(2) </w:t>
      </w:r>
      <w:proofErr w:type="spellStart"/>
      <w:r>
        <w:t>Kat’tir</w:t>
      </w:r>
      <w:proofErr w:type="spellEnd"/>
      <w:r>
        <w:t>.</w:t>
      </w:r>
    </w:p>
    <w:p w:rsidR="00160527" w:rsidRDefault="00160527" w:rsidP="00160527">
      <w:pPr>
        <w:tabs>
          <w:tab w:val="left" w:pos="0"/>
        </w:tabs>
        <w:ind w:right="-1" w:firstLine="709"/>
        <w:jc w:val="both"/>
      </w:pPr>
      <w:r>
        <w:t>15.5. Trafo Ve Elektrik Hatları: Enerji Nakil Hatları Ve Koruma Kuşaklarında 30.11.2001 Gün Ve 24246 Sayılı Resmi Gazetede Yayımlanan Elektrik Kuvvetli Akım Tesisleri Yönetmeliğine Uyulacaktır. Enerji Nakil Hatları Koruma Kuşaklarında Gezinti Yolları, Büfeler, Oturma Yerleri, Meydanlar Gibi Düzenlemeler Yapılamaz.</w:t>
      </w:r>
    </w:p>
    <w:p w:rsidR="00160527" w:rsidRDefault="00160527" w:rsidP="00160527">
      <w:pPr>
        <w:tabs>
          <w:tab w:val="left" w:pos="0"/>
        </w:tabs>
        <w:ind w:right="-1" w:firstLine="709"/>
        <w:jc w:val="both"/>
      </w:pPr>
      <w:r>
        <w:t>15.6. Planlama Alanı İçerisinde Yer Alan Tüm Hat Güzergâhlarında İlgili İdarenin İzni Ve Kontrolü Olmadan, Hiçbir Kazı, Dolgu Vb. Faaliyetlerde Bulunulamaz. Planda Onama Sınırları İçerisindeki Doğalgaz Hatları Üzerinde Herhangi Bir Yapılaşmaya Gidilemez, Derin Köklü Bitki Dikilemez.</w:t>
      </w:r>
    </w:p>
    <w:p w:rsidR="00160527" w:rsidRDefault="00160527" w:rsidP="00160527">
      <w:pPr>
        <w:tabs>
          <w:tab w:val="left" w:pos="0"/>
        </w:tabs>
        <w:ind w:right="-1" w:firstLine="709"/>
        <w:jc w:val="both"/>
      </w:pPr>
      <w:r>
        <w:t>Şeklinde 15 adet plan notu önerildiği,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rsidRPr="00B22058">
        <w:rPr>
          <w:b/>
        </w:rPr>
        <w:t>1/5000 Ölçekli Nazım İmar Planı Teklifinde</w:t>
      </w:r>
      <w:r>
        <w:t xml:space="preserve">, Planlama alanında mevzi planlarına uygun olarak Konut Alanı, Ticaret Alanı, Sağlık Tesisleri Alanı, </w:t>
      </w:r>
      <w:proofErr w:type="spellStart"/>
      <w:r>
        <w:t>Sosyo</w:t>
      </w:r>
      <w:proofErr w:type="spellEnd"/>
      <w:r>
        <w:t>- Kültürel Tesisler Alanı,  Sosyal Tesis Alanı, Park ve Teknik Altyapı Alanları planlandığı, Planlama alanı içerisindeki nüfus maksimum konut sayısına göre 917 kişi olacağı, Buna göre Brüt Yoğunluk 917 kişi / 28,90 ha= 32 kişi/ha olacağı,  Planlama alanı, Mekânsal Planlar Yapım Yönetmeliği - Nazım İmar Planları Gösterimi kapsamında “Seyrek Yoğunluklu Konut Alanları (50 kişi/ha altında)”olarak gösterildiği,</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60527" w:rsidRPr="002D00A5" w:rsidTr="005D664C">
        <w:trPr>
          <w:trHeight w:val="1008"/>
        </w:trPr>
        <w:tc>
          <w:tcPr>
            <w:tcW w:w="3510" w:type="dxa"/>
          </w:tcPr>
          <w:p w:rsidR="00160527" w:rsidRPr="002D00A5" w:rsidRDefault="00160527" w:rsidP="005D664C">
            <w:pPr>
              <w:ind w:right="-1"/>
              <w:jc w:val="center"/>
            </w:pPr>
            <w:r w:rsidRPr="002D00A5">
              <w:t>T.C.</w:t>
            </w:r>
          </w:p>
          <w:p w:rsidR="00160527" w:rsidRPr="002D00A5" w:rsidRDefault="00160527" w:rsidP="005D664C">
            <w:pPr>
              <w:ind w:right="-1"/>
              <w:jc w:val="center"/>
            </w:pPr>
            <w:r w:rsidRPr="002D00A5">
              <w:t>ANKARA BÜYÜKŞEHİR</w:t>
            </w:r>
          </w:p>
          <w:p w:rsidR="00160527" w:rsidRPr="002D00A5" w:rsidRDefault="00160527" w:rsidP="005D664C">
            <w:pPr>
              <w:ind w:right="-1"/>
              <w:jc w:val="center"/>
            </w:pPr>
            <w:r w:rsidRPr="002D00A5">
              <w:t>BELEDİYE MECLİSİ</w:t>
            </w:r>
          </w:p>
        </w:tc>
      </w:tr>
    </w:tbl>
    <w:p w:rsidR="00160527" w:rsidRDefault="00160527" w:rsidP="00160527">
      <w:pPr>
        <w:tabs>
          <w:tab w:val="left" w:pos="1935"/>
          <w:tab w:val="left" w:pos="9356"/>
        </w:tabs>
        <w:ind w:right="-1"/>
        <w:jc w:val="both"/>
      </w:pPr>
    </w:p>
    <w:p w:rsidR="00160527" w:rsidRDefault="00160527" w:rsidP="00160527">
      <w:pPr>
        <w:tabs>
          <w:tab w:val="left" w:pos="1935"/>
          <w:tab w:val="left" w:pos="9356"/>
        </w:tabs>
        <w:ind w:right="-1"/>
        <w:jc w:val="both"/>
      </w:pPr>
    </w:p>
    <w:p w:rsidR="00160527" w:rsidRDefault="00160527" w:rsidP="00160527">
      <w:pPr>
        <w:ind w:right="-1"/>
        <w:jc w:val="both"/>
      </w:pPr>
      <w:r>
        <w:t>Karar No: 960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14.06.2025</w:t>
      </w:r>
    </w:p>
    <w:p w:rsidR="00160527" w:rsidRDefault="00160527" w:rsidP="00160527">
      <w:pPr>
        <w:tabs>
          <w:tab w:val="left" w:pos="0"/>
        </w:tabs>
        <w:ind w:right="-1"/>
      </w:pPr>
    </w:p>
    <w:p w:rsidR="00160527" w:rsidRDefault="00160527" w:rsidP="00160527">
      <w:pPr>
        <w:tabs>
          <w:tab w:val="left" w:pos="0"/>
        </w:tabs>
        <w:ind w:right="-1"/>
        <w:jc w:val="center"/>
      </w:pPr>
      <w:r>
        <w:t>-6-</w:t>
      </w:r>
    </w:p>
    <w:p w:rsidR="00160527" w:rsidRDefault="00160527" w:rsidP="00160527">
      <w:pPr>
        <w:tabs>
          <w:tab w:val="left" w:pos="0"/>
        </w:tabs>
        <w:ind w:right="-1"/>
        <w:jc w:val="center"/>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Plan Notları</w:t>
      </w:r>
    </w:p>
    <w:p w:rsidR="00160527" w:rsidRDefault="00160527" w:rsidP="00160527">
      <w:pPr>
        <w:tabs>
          <w:tab w:val="left" w:pos="0"/>
        </w:tabs>
        <w:ind w:right="-1" w:firstLine="709"/>
        <w:jc w:val="both"/>
      </w:pPr>
      <w:r>
        <w:t>1.Bu Plan, Plan Notları Ve Plan Açıklama Raporu Bir Bütündür.</w:t>
      </w:r>
    </w:p>
    <w:p w:rsidR="00160527" w:rsidRDefault="00160527" w:rsidP="00160527">
      <w:pPr>
        <w:tabs>
          <w:tab w:val="left" w:pos="0"/>
        </w:tabs>
        <w:ind w:right="-1" w:firstLine="709"/>
        <w:jc w:val="both"/>
      </w:pPr>
      <w:r>
        <w:t>2.1/1000 Ölçekli Uygulama İmar Planı Yapılmadan Uygulamaya Geçilemez.</w:t>
      </w:r>
    </w:p>
    <w:p w:rsidR="00160527" w:rsidRDefault="00160527" w:rsidP="00160527">
      <w:pPr>
        <w:tabs>
          <w:tab w:val="left" w:pos="0"/>
        </w:tabs>
        <w:ind w:right="-1" w:firstLine="709"/>
        <w:jc w:val="both"/>
      </w:pPr>
      <w:r>
        <w:t>3.Planda Belirlenen Kullanımlara Yönelik Yapılaşmaya İlişkin Hükümler 1/1000 Ölçekli Uygulama İmar Planında Belirlenecektir.</w:t>
      </w:r>
    </w:p>
    <w:p w:rsidR="00160527" w:rsidRDefault="00160527" w:rsidP="00160527">
      <w:pPr>
        <w:tabs>
          <w:tab w:val="left" w:pos="0"/>
        </w:tabs>
        <w:ind w:right="-1" w:firstLine="709"/>
        <w:jc w:val="both"/>
      </w:pPr>
      <w:r>
        <w:t xml:space="preserve">4.Onaylı Jeolojik </w:t>
      </w:r>
      <w:proofErr w:type="spellStart"/>
      <w:r>
        <w:t>Jeoteknik</w:t>
      </w:r>
      <w:proofErr w:type="spellEnd"/>
      <w:r>
        <w:t xml:space="preserve"> Etüt Raporunun Sonuç Ve Öneriler Bölümündeki Önerilere Ve Türkiye Bina Deprem Yönetmeliğine, Afet Bölgelerinde Yapılacak Yapılar Hakkında Yönetmelik Hükümlerine Uyulacaktır.</w:t>
      </w:r>
    </w:p>
    <w:p w:rsidR="00160527" w:rsidRDefault="00160527" w:rsidP="00160527">
      <w:pPr>
        <w:tabs>
          <w:tab w:val="left" w:pos="0"/>
        </w:tabs>
        <w:ind w:right="-1" w:firstLine="709"/>
        <w:jc w:val="both"/>
      </w:pPr>
      <w:r>
        <w:t>5.Tarım Ve Orman Bakanlığı Devlet Su İşleri Genel Müdürlüğü 5. Bölge Müdürlüğünün 01.12.2020 Tarih 773519 Sayılı Görüşünde Belirtilen Hususlara Uyulacaktır.</w:t>
      </w:r>
    </w:p>
    <w:p w:rsidR="00160527" w:rsidRDefault="00160527" w:rsidP="00160527">
      <w:pPr>
        <w:tabs>
          <w:tab w:val="left" w:pos="0"/>
        </w:tabs>
        <w:ind w:right="-1" w:firstLine="709"/>
        <w:jc w:val="both"/>
      </w:pPr>
      <w:r>
        <w:t>6.Kültür Ve Turizm Bakanlığını Kültür Varlıkları Ve Müzeler Genel Müdürlüğünün 04.05.2020 Tarih 326431 Sayılı Görüşünde Belirtilen Hususlara Uyulacaktır.</w:t>
      </w:r>
    </w:p>
    <w:p w:rsidR="00160527" w:rsidRDefault="00160527" w:rsidP="00160527">
      <w:pPr>
        <w:tabs>
          <w:tab w:val="left" w:pos="0"/>
        </w:tabs>
        <w:ind w:right="-1" w:firstLine="709"/>
        <w:jc w:val="both"/>
      </w:pPr>
      <w:r>
        <w:t>7.Başkent Doğalgaz GYO A.Ş.’</w:t>
      </w:r>
      <w:proofErr w:type="spellStart"/>
      <w:r>
        <w:t>nin</w:t>
      </w:r>
      <w:proofErr w:type="spellEnd"/>
      <w:r>
        <w:t xml:space="preserve"> 11.05.2020 Tarih Ve 17729 Sayılı Görüşünde Belirtilen Hususlara Uyulacaktır.</w:t>
      </w:r>
    </w:p>
    <w:p w:rsidR="00160527" w:rsidRDefault="00160527" w:rsidP="00160527">
      <w:pPr>
        <w:tabs>
          <w:tab w:val="left" w:pos="0"/>
        </w:tabs>
        <w:ind w:right="-1" w:firstLine="709"/>
        <w:jc w:val="both"/>
      </w:pPr>
      <w:r>
        <w:t>8.Aski Genel Müdürlüğünün 18.12.2020 Tarih Ve 43284 Sayılı Görüşünde Belirtilen Hususlara Uyulacaktır.</w:t>
      </w:r>
    </w:p>
    <w:p w:rsidR="00160527" w:rsidRDefault="00160527" w:rsidP="00160527">
      <w:pPr>
        <w:tabs>
          <w:tab w:val="left" w:pos="0"/>
        </w:tabs>
        <w:ind w:right="-1" w:firstLine="709"/>
        <w:jc w:val="both"/>
      </w:pPr>
      <w:r>
        <w:t>9.Başkent Elektrik Dağıtım A.Ş.’</w:t>
      </w:r>
      <w:proofErr w:type="spellStart"/>
      <w:r>
        <w:t>nin</w:t>
      </w:r>
      <w:proofErr w:type="spellEnd"/>
      <w:r>
        <w:t xml:space="preserve"> 01.10.2021 Tarih 3776 Sayılı Görüşünde Belirtilen Hususlara Uyulacaktır.</w:t>
      </w:r>
    </w:p>
    <w:p w:rsidR="00160527" w:rsidRDefault="00160527" w:rsidP="00160527">
      <w:pPr>
        <w:tabs>
          <w:tab w:val="left" w:pos="0"/>
        </w:tabs>
        <w:ind w:right="-1" w:firstLine="709"/>
        <w:jc w:val="both"/>
      </w:pPr>
      <w:r>
        <w:t>10.Türkiye Elektrik İletim Anonim Şirketi Genel Müdürlüğünün 02.02.2021 Tarih 518404 Sayılı Görüşünde Belirtilen Hususlara Uyulacaktır.</w:t>
      </w:r>
    </w:p>
    <w:p w:rsidR="00160527" w:rsidRDefault="00160527" w:rsidP="00160527">
      <w:pPr>
        <w:tabs>
          <w:tab w:val="left" w:pos="0"/>
        </w:tabs>
        <w:ind w:right="-1" w:firstLine="709"/>
        <w:jc w:val="both"/>
      </w:pPr>
      <w:r>
        <w:t>11.Türkiye Elektrik İletim A.Ş. (TEİAŞ)'a Ait Enerji İletim Tesisleri Yakınında Ve Çevresinde Yapılacak Her Türlü Proje, Uygulama Ve İnşaat Öncesinde Türkiye Elektrik İletim A.Ş. (TEİAŞ) Görüşü Alınacaktır.</w:t>
      </w:r>
    </w:p>
    <w:p w:rsidR="00160527" w:rsidRDefault="00160527" w:rsidP="00160527">
      <w:pPr>
        <w:tabs>
          <w:tab w:val="left" w:pos="0"/>
        </w:tabs>
        <w:ind w:right="-1" w:firstLine="709"/>
        <w:jc w:val="both"/>
      </w:pPr>
      <w:r>
        <w:t xml:space="preserve">12.Teiaş Enerji İletim Hattı Altındaki Yapılaşmalarda 30/11/2000 Tarihli Ve 24246 Sayılı Resmi </w:t>
      </w:r>
      <w:proofErr w:type="spellStart"/>
      <w:r>
        <w:t>Gazete'de</w:t>
      </w:r>
      <w:proofErr w:type="spellEnd"/>
      <w:r>
        <w:t xml:space="preserve"> Yayımlanan Elektrik Kuvvetli Akım Tesisleri (EKAT) Yönetmeliği Hükümlerine Uyulacaktır.</w:t>
      </w:r>
    </w:p>
    <w:p w:rsidR="00160527" w:rsidRDefault="00160527" w:rsidP="00160527">
      <w:pPr>
        <w:tabs>
          <w:tab w:val="left" w:pos="0"/>
        </w:tabs>
        <w:ind w:right="-1" w:firstLine="709"/>
        <w:jc w:val="both"/>
      </w:pPr>
      <w:r>
        <w:t>13.Planda Gösterilen Taşkın Sınırları (Su Kanalları Koruma Kuşağı) Ve Jeolojik Açıdan Yerleşime Uygun Olmayan Alanlarda Hiçbir Şekilde Yapılaşmaya Gidilemez.</w:t>
      </w:r>
    </w:p>
    <w:p w:rsidR="00160527" w:rsidRDefault="00160527" w:rsidP="00160527">
      <w:pPr>
        <w:tabs>
          <w:tab w:val="left" w:pos="0"/>
        </w:tabs>
        <w:ind w:right="-1" w:firstLine="709"/>
        <w:jc w:val="both"/>
      </w:pPr>
      <w:r>
        <w:t>14.Bu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 Ölçekli Planlara Uyulacaktır.</w:t>
      </w:r>
    </w:p>
    <w:p w:rsidR="00160527" w:rsidRDefault="00160527" w:rsidP="00160527">
      <w:pPr>
        <w:tabs>
          <w:tab w:val="left" w:pos="0"/>
        </w:tabs>
        <w:ind w:right="-1" w:firstLine="709"/>
        <w:jc w:val="both"/>
      </w:pPr>
      <w:r>
        <w:t>Şeklinde 14 adet plan notu önerildiği,</w:t>
      </w:r>
    </w:p>
    <w:p w:rsidR="00160527" w:rsidRDefault="00160527" w:rsidP="00160527">
      <w:pPr>
        <w:tabs>
          <w:tab w:val="left" w:pos="0"/>
        </w:tabs>
        <w:ind w:right="-1" w:firstLine="709"/>
        <w:jc w:val="both"/>
        <w:rPr>
          <w:b/>
        </w:rPr>
      </w:pPr>
    </w:p>
    <w:p w:rsidR="00160527" w:rsidRDefault="00160527" w:rsidP="00160527">
      <w:pPr>
        <w:tabs>
          <w:tab w:val="left" w:pos="0"/>
        </w:tabs>
        <w:ind w:right="-1" w:firstLine="709"/>
        <w:jc w:val="both"/>
      </w:pPr>
      <w:r w:rsidRPr="00B22058">
        <w:rPr>
          <w:b/>
        </w:rPr>
        <w:t>Başkanlığımızca yapılan değerlendirmede,</w:t>
      </w:r>
    </w:p>
    <w:p w:rsidR="00160527" w:rsidRDefault="00160527" w:rsidP="00160527">
      <w:pPr>
        <w:tabs>
          <w:tab w:val="left" w:pos="0"/>
        </w:tabs>
        <w:ind w:right="-1" w:firstLine="709"/>
        <w:jc w:val="both"/>
      </w:pPr>
      <w:r>
        <w:t xml:space="preserve">Plan teklifi ile Bayındırlık mevzi onaylı bölgede plan genelinde yer alan 5m, 7m, 12m, 15m'lik yollardan bazı yolların genişletildiği ve/veya daraltıldığı, bazı yolların değiştirildiği, ayrıca plan onama sınırı içerisindeki alanın büyük bir kısmında yapılaşmış imar adalarının bulunduğu, </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60527" w:rsidRPr="002D00A5" w:rsidTr="005D664C">
        <w:trPr>
          <w:trHeight w:val="1008"/>
        </w:trPr>
        <w:tc>
          <w:tcPr>
            <w:tcW w:w="3510" w:type="dxa"/>
          </w:tcPr>
          <w:p w:rsidR="00160527" w:rsidRPr="002D00A5" w:rsidRDefault="00160527" w:rsidP="005D664C">
            <w:pPr>
              <w:ind w:right="-1"/>
              <w:jc w:val="center"/>
            </w:pPr>
            <w:r w:rsidRPr="002D00A5">
              <w:t>T.C.</w:t>
            </w:r>
          </w:p>
          <w:p w:rsidR="00160527" w:rsidRPr="002D00A5" w:rsidRDefault="00160527" w:rsidP="005D664C">
            <w:pPr>
              <w:ind w:right="-1"/>
              <w:jc w:val="center"/>
            </w:pPr>
            <w:r w:rsidRPr="002D00A5">
              <w:t>ANKARA BÜYÜKŞEHİR</w:t>
            </w:r>
          </w:p>
          <w:p w:rsidR="00160527" w:rsidRPr="002D00A5" w:rsidRDefault="00160527" w:rsidP="005D664C">
            <w:pPr>
              <w:ind w:right="-1"/>
              <w:jc w:val="center"/>
            </w:pPr>
            <w:r w:rsidRPr="002D00A5">
              <w:t>BELEDİYE MECLİSİ</w:t>
            </w:r>
          </w:p>
        </w:tc>
      </w:tr>
    </w:tbl>
    <w:p w:rsidR="00160527" w:rsidRDefault="00160527" w:rsidP="00160527">
      <w:pPr>
        <w:tabs>
          <w:tab w:val="left" w:pos="1935"/>
          <w:tab w:val="left" w:pos="9356"/>
        </w:tabs>
        <w:ind w:right="-1"/>
        <w:jc w:val="both"/>
      </w:pPr>
    </w:p>
    <w:p w:rsidR="00160527" w:rsidRDefault="00160527" w:rsidP="00160527">
      <w:pPr>
        <w:tabs>
          <w:tab w:val="left" w:pos="1935"/>
          <w:tab w:val="left" w:pos="9356"/>
        </w:tabs>
        <w:ind w:right="-1"/>
        <w:jc w:val="both"/>
      </w:pPr>
    </w:p>
    <w:p w:rsidR="00160527" w:rsidRDefault="00160527" w:rsidP="00160527">
      <w:pPr>
        <w:ind w:right="-1"/>
        <w:jc w:val="both"/>
      </w:pPr>
      <w:r>
        <w:t>Karar No: 960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14.06.2025</w:t>
      </w:r>
    </w:p>
    <w:p w:rsidR="00160527" w:rsidRDefault="00160527" w:rsidP="00160527">
      <w:pPr>
        <w:tabs>
          <w:tab w:val="left" w:pos="0"/>
        </w:tabs>
        <w:ind w:right="-1"/>
      </w:pPr>
    </w:p>
    <w:p w:rsidR="00160527" w:rsidRDefault="00160527" w:rsidP="00160527">
      <w:pPr>
        <w:tabs>
          <w:tab w:val="left" w:pos="0"/>
        </w:tabs>
        <w:ind w:right="-1"/>
        <w:jc w:val="center"/>
      </w:pPr>
      <w:r>
        <w:t>-7-</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 xml:space="preserve">Mevcutta doğu-batı uzanımlı olarak planlı olan otoparkın fiili durumuna uygun şekilde kuzey- güney uzanımlı hale getirildiği, yine </w:t>
      </w:r>
      <w:proofErr w:type="spellStart"/>
      <w:r>
        <w:t>Sosyo</w:t>
      </w:r>
      <w:proofErr w:type="spellEnd"/>
      <w:r>
        <w:t xml:space="preserve"> Kültürel Tesis Alanının kuzeyindeki otopark alanı da fiili durumdaki hali olan park kullanımına çevrildiği, ayrıca mevcut trafonun Teknik Altyapı Alanı (TA) olarak plana işlendiği, (Görsel- 1)</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Mevcut Park Alanı ile Çocuk Bahçesi birleştirilerek yeşil alanın sürekliliğinin sağlanması için 7 metrelik yaya yolunun kaldırıldığı ve konut adasının cephesi düzeltilerek Park kullanımının şeklinin değiştirildiği, yine iki adanın cephesinin aynı hizada olması için aradaki kırıklıklar kaldırılarak 7 metrelik yolun düz bir aks haline getirildiği, Ayrıca Kuzeydeki 12 metrelik yolun aksı, batıda onaylanması muhtemel plana göre düzeltilerek parkın bir kısmı da yukardaki karayolu kamulaştırma sınırına doğru kaydırıldığı, (Görsel-2)</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Mevcut imar adası sınırları değiştirilerek Doğal sit alanı sınırlarına basan uygulama görmüş konut alanlarının kaldırıldığı, kaldırılan alan için gereken konut alanı miktarının ise yine iki adanın arasındaki park alanı kaldırılarak düzenlendiği,  (Görsel -3)</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Mevcut toplam konut alanı büyüklüğü ve konut sayısı korunarak 322, 323, 338 ve  337 no.lu imar adalarında mevcut fiziksel duruma göre yeniden düzenleme yapıldığı, (Görsel- 4)</w:t>
      </w:r>
    </w:p>
    <w:p w:rsidR="00160527" w:rsidRDefault="00160527" w:rsidP="00160527">
      <w:pPr>
        <w:tabs>
          <w:tab w:val="left" w:pos="0"/>
        </w:tabs>
        <w:ind w:right="-1" w:firstLine="709"/>
        <w:jc w:val="both"/>
      </w:pPr>
    </w:p>
    <w:p w:rsidR="00160527" w:rsidRDefault="00160527" w:rsidP="00160527">
      <w:pPr>
        <w:tabs>
          <w:tab w:val="left" w:pos="0"/>
        </w:tabs>
        <w:ind w:right="-1" w:firstLine="709"/>
        <w:jc w:val="both"/>
      </w:pPr>
      <w:r>
        <w:t>Değerlendirilmekle birlikte teklifin yazımızda belirtilen hususlar, yazı ekleri ve ilgili mevzuat hükümleri çerçevesinde Belediye Meclisince Karara bağlanması gerektiği görüş ve kanaatine varıldığı,</w:t>
      </w:r>
    </w:p>
    <w:p w:rsidR="00160527" w:rsidRDefault="00160527" w:rsidP="00160527">
      <w:pPr>
        <w:tabs>
          <w:tab w:val="left" w:pos="0"/>
        </w:tabs>
        <w:ind w:right="-1" w:firstLine="709"/>
        <w:jc w:val="both"/>
      </w:pPr>
    </w:p>
    <w:p w:rsidR="00EC582E" w:rsidRDefault="00160527" w:rsidP="00160527">
      <w:pPr>
        <w:tabs>
          <w:tab w:val="left" w:pos="0"/>
        </w:tabs>
        <w:ind w:right="-1" w:firstLine="709"/>
        <w:jc w:val="both"/>
      </w:pPr>
      <w:r>
        <w:t>Güneybatı Ankara Planlama Bölgesi 2 no.lu mevzi planlı bölgeye yönelik 1/1000 ölçekli uygulama imar planı ve tavsiye niteliğindeki 1/5000 ölçekli nazım im</w:t>
      </w:r>
      <w:r>
        <w:t>ar planı değişikliğinin “</w:t>
      </w:r>
      <w:proofErr w:type="spellStart"/>
      <w:r>
        <w:t>onayı”na</w:t>
      </w:r>
      <w:proofErr w:type="spellEnd"/>
      <w:r w:rsidR="00D5409E">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DC4195">
        <w:t xml:space="preserve"> “</w:t>
      </w:r>
      <w:proofErr w:type="gramStart"/>
      <w:r w:rsidR="00DC4195" w:rsidRPr="00983D19">
        <w:t>..</w:t>
      </w:r>
      <w:proofErr w:type="gramEnd"/>
      <w:r w:rsidR="00DC4195" w:rsidRPr="00983D19">
        <w:t>Kot hisselerinin belediyesine bedelsiz terki halinde konfora yönelik %10 emsal artışı yapılacağına dair plan notu</w:t>
      </w:r>
      <w:r w:rsidR="00DC4195">
        <w:t xml:space="preserve">nun ilavesiyle” </w:t>
      </w:r>
      <w:proofErr w:type="spellStart"/>
      <w:r w:rsidR="00DC4195">
        <w:t>tadilen</w:t>
      </w:r>
      <w:proofErr w:type="spellEnd"/>
      <w:r w:rsidR="00DC4195">
        <w:t xml:space="preserve"> onayı” tarzında</w:t>
      </w:r>
      <w:r w:rsidR="00F53537">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p w:rsidR="00F53537" w:rsidRDefault="00F53537" w:rsidP="00AA7ED1">
      <w:pPr>
        <w:tabs>
          <w:tab w:val="left" w:pos="0"/>
        </w:tabs>
        <w:ind w:right="-1" w:firstLine="709"/>
        <w:jc w:val="both"/>
      </w:pPr>
    </w:p>
    <w:p w:rsidR="00F53537" w:rsidRDefault="00F53537" w:rsidP="00AA7ED1">
      <w:pPr>
        <w:tabs>
          <w:tab w:val="left" w:pos="0"/>
        </w:tabs>
        <w:ind w:right="-1" w:firstLine="709"/>
        <w:jc w:val="both"/>
      </w:pPr>
    </w:p>
    <w:p w:rsidR="00D5409E" w:rsidRDefault="00D5409E" w:rsidP="00AA7ED1">
      <w:pPr>
        <w:tabs>
          <w:tab w:val="left" w:pos="0"/>
        </w:tabs>
        <w:ind w:right="-1"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D5409E" w:rsidTr="005D664C">
        <w:trPr>
          <w:trHeight w:val="594"/>
          <w:jc w:val="center"/>
        </w:trPr>
        <w:tc>
          <w:tcPr>
            <w:tcW w:w="3400" w:type="dxa"/>
          </w:tcPr>
          <w:p w:rsidR="00D5409E" w:rsidRDefault="00D5409E" w:rsidP="005D664C">
            <w:pPr>
              <w:autoSpaceDE w:val="0"/>
              <w:autoSpaceDN w:val="0"/>
              <w:adjustRightInd w:val="0"/>
              <w:jc w:val="center"/>
              <w:rPr>
                <w:color w:val="000000"/>
              </w:rPr>
            </w:pPr>
            <w:r>
              <w:rPr>
                <w:color w:val="000000"/>
              </w:rPr>
              <w:t>Ertan IŞIK</w:t>
            </w:r>
          </w:p>
          <w:p w:rsidR="00D5409E" w:rsidRDefault="00D5409E" w:rsidP="005D664C">
            <w:pPr>
              <w:autoSpaceDE w:val="0"/>
              <w:autoSpaceDN w:val="0"/>
              <w:adjustRightInd w:val="0"/>
              <w:jc w:val="center"/>
              <w:rPr>
                <w:color w:val="000000"/>
              </w:rPr>
            </w:pPr>
            <w:r>
              <w:rPr>
                <w:color w:val="000000"/>
              </w:rPr>
              <w:t>Meclis 1. Başkan V.</w:t>
            </w:r>
          </w:p>
        </w:tc>
        <w:tc>
          <w:tcPr>
            <w:tcW w:w="3400" w:type="dxa"/>
            <w:vAlign w:val="center"/>
          </w:tcPr>
          <w:p w:rsidR="00D5409E" w:rsidRDefault="00D5409E" w:rsidP="005D664C">
            <w:pPr>
              <w:autoSpaceDE w:val="0"/>
              <w:autoSpaceDN w:val="0"/>
              <w:adjustRightInd w:val="0"/>
              <w:jc w:val="center"/>
              <w:rPr>
                <w:color w:val="000000"/>
              </w:rPr>
            </w:pPr>
            <w:r>
              <w:rPr>
                <w:color w:val="000000"/>
              </w:rPr>
              <w:t>Mustafa Kemal KÖMÜRCÜ</w:t>
            </w:r>
          </w:p>
          <w:p w:rsidR="00D5409E" w:rsidRDefault="00D5409E" w:rsidP="005D664C">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D5409E" w:rsidRDefault="00D5409E" w:rsidP="005D664C">
            <w:pPr>
              <w:tabs>
                <w:tab w:val="left" w:pos="3268"/>
              </w:tabs>
              <w:jc w:val="center"/>
              <w:rPr>
                <w:color w:val="000000"/>
              </w:rPr>
            </w:pPr>
            <w:r>
              <w:rPr>
                <w:color w:val="000000"/>
              </w:rPr>
              <w:t>Evrim KÜÇÜK</w:t>
            </w:r>
          </w:p>
          <w:p w:rsidR="00D5409E" w:rsidRDefault="00D5409E" w:rsidP="005D664C">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D5409E" w:rsidRDefault="00D5409E" w:rsidP="00AA7ED1">
      <w:pPr>
        <w:tabs>
          <w:tab w:val="left" w:pos="0"/>
        </w:tabs>
        <w:ind w:right="-1" w:firstLine="709"/>
        <w:jc w:val="both"/>
      </w:pPr>
    </w:p>
    <w:p w:rsidR="00D5409E" w:rsidRDefault="00D5409E" w:rsidP="00AA7ED1">
      <w:pPr>
        <w:tabs>
          <w:tab w:val="left" w:pos="0"/>
        </w:tabs>
        <w:ind w:right="-1" w:firstLine="709"/>
        <w:jc w:val="both"/>
      </w:pPr>
      <w:bookmarkStart w:id="0" w:name="_GoBack"/>
      <w:bookmarkEnd w:id="0"/>
    </w:p>
    <w:sectPr w:rsidR="00D5409E"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527"/>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1BB"/>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A31"/>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09E"/>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4195"/>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3537"/>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99EB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F22E5-7973-4C8C-ADA1-1C5B7D7F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2379</Words>
  <Characters>16747</Characters>
  <Application>Microsoft Office Word</Application>
  <DocSecurity>0</DocSecurity>
  <Lines>139</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2025-06-16T07:31:00Z</cp:lastPrinted>
  <dcterms:created xsi:type="dcterms:W3CDTF">2025-06-16T07:35:00Z</dcterms:created>
  <dcterms:modified xsi:type="dcterms:W3CDTF">2025-06-16T07:35:00Z</dcterms:modified>
</cp:coreProperties>
</file>