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663BBC">
        <w:t>636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663BBC" w:rsidP="00CA055A">
      <w:pPr>
        <w:tabs>
          <w:tab w:val="left" w:pos="9356"/>
        </w:tabs>
        <w:ind w:right="-1" w:firstLine="708"/>
        <w:jc w:val="both"/>
      </w:pPr>
      <w:r w:rsidRPr="00F937C8">
        <w:t>Polatlı İlçesinin muhtelif yerlerinde kullanılmak üzere 500 adet çöp konteyneri iht</w:t>
      </w:r>
      <w:r>
        <w:t xml:space="preserve">iyacının karşılanmasına ilişkin </w:t>
      </w:r>
      <w:r w:rsidR="00D93BFE">
        <w:t xml:space="preserve">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59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663BBC">
        <w:t xml:space="preserve">Polatlı İlçesinin muhtelif yerlerinde kullanılmak üzere 500 adet çöp konteyneri ihtiyacının Büyükşehir Belediyesi tarafından karşılanmasına ilişkin </w:t>
      </w:r>
      <w:r w:rsidR="00D93BFE"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8234B3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4B3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0EF6-4D9B-4F87-972A-45A1BE89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2025-04-11T06:52:00Z</dcterms:created>
  <dcterms:modified xsi:type="dcterms:W3CDTF">2025-04-11T10:03:00Z</dcterms:modified>
</cp:coreProperties>
</file>